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818FC" w14:textId="77777777" w:rsidR="00662B4A" w:rsidRDefault="008A5C51">
      <w:pPr>
        <w:ind w:left="270"/>
        <w:rPr>
          <w:rFonts w:ascii="Times New Roman"/>
          <w:sz w:val="20"/>
        </w:rPr>
      </w:pPr>
      <w:bookmarkStart w:id="0" w:name="Eligibility"/>
      <w:bookmarkStart w:id="1" w:name="Policy/Procedure"/>
      <w:bookmarkEnd w:id="0"/>
      <w:bookmarkEnd w:id="1"/>
      <w:r>
        <w:rPr>
          <w:rFonts w:ascii="Times New Roman"/>
          <w:noProof/>
          <w:sz w:val="20"/>
        </w:rPr>
        <w:drawing>
          <wp:inline distT="0" distB="0" distL="0" distR="0" wp14:anchorId="0535AD7E" wp14:editId="0535AD7F">
            <wp:extent cx="1761741" cy="43805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761741" cy="438054"/>
                    </a:xfrm>
                    <a:prstGeom prst="rect">
                      <a:avLst/>
                    </a:prstGeom>
                  </pic:spPr>
                </pic:pic>
              </a:graphicData>
            </a:graphic>
          </wp:inline>
        </w:drawing>
      </w:r>
    </w:p>
    <w:p w14:paraId="18337C80" w14:textId="77777777" w:rsidR="002978DF" w:rsidRDefault="002978DF">
      <w:pPr>
        <w:spacing w:after="60" w:line="252" w:lineRule="auto"/>
        <w:ind w:left="240"/>
        <w:rPr>
          <w:sz w:val="20"/>
          <w:szCs w:val="20"/>
        </w:rPr>
      </w:pPr>
    </w:p>
    <w:tbl>
      <w:tblPr>
        <w:tblW w:w="9838" w:type="dxa"/>
        <w:tblLayout w:type="fixed"/>
        <w:tblCellMar>
          <w:top w:w="60" w:type="dxa"/>
          <w:left w:w="0" w:type="dxa"/>
          <w:bottom w:w="60" w:type="dxa"/>
          <w:right w:w="150" w:type="dxa"/>
        </w:tblCellMar>
        <w:tblLook w:val="00A0" w:firstRow="1" w:lastRow="0" w:firstColumn="1" w:lastColumn="0" w:noHBand="0" w:noVBand="0"/>
      </w:tblPr>
      <w:tblGrid>
        <w:gridCol w:w="1789"/>
        <w:gridCol w:w="5173"/>
        <w:gridCol w:w="2876"/>
      </w:tblGrid>
      <w:tr w:rsidR="002978DF" w14:paraId="165E3245" w14:textId="77777777" w:rsidTr="00F97304">
        <w:trPr>
          <w:gridAfter w:val="1"/>
          <w:wAfter w:w="2876" w:type="dxa"/>
          <w:cantSplit/>
        </w:trPr>
        <w:tc>
          <w:tcPr>
            <w:tcW w:w="1789" w:type="dxa"/>
            <w:tcBorders>
              <w:top w:val="single" w:sz="12" w:space="0" w:color="000000"/>
              <w:left w:val="nil"/>
              <w:bottom w:val="nil"/>
              <w:right w:val="nil"/>
            </w:tcBorders>
          </w:tcPr>
          <w:p w14:paraId="0A3C0535" w14:textId="3A950365" w:rsidR="002978DF" w:rsidRDefault="002978DF">
            <w:pPr>
              <w:spacing w:before="20" w:after="60" w:line="252" w:lineRule="auto"/>
              <w:ind w:left="115" w:right="60"/>
              <w:rPr>
                <w:sz w:val="20"/>
                <w:szCs w:val="20"/>
              </w:rPr>
            </w:pPr>
          </w:p>
        </w:tc>
        <w:tc>
          <w:tcPr>
            <w:tcW w:w="5173" w:type="dxa"/>
            <w:tcBorders>
              <w:top w:val="single" w:sz="12" w:space="0" w:color="000000"/>
              <w:left w:val="nil"/>
              <w:bottom w:val="nil"/>
              <w:right w:val="nil"/>
            </w:tcBorders>
          </w:tcPr>
          <w:p w14:paraId="3BA07967" w14:textId="77777777" w:rsidR="002978DF" w:rsidRDefault="002F2A83" w:rsidP="00E51A37">
            <w:pPr>
              <w:spacing w:before="40" w:after="60" w:line="252" w:lineRule="auto"/>
              <w:ind w:right="60"/>
              <w:rPr>
                <w:sz w:val="20"/>
                <w:szCs w:val="20"/>
              </w:rPr>
            </w:pPr>
            <w:r>
              <w:rPr>
                <w:b/>
                <w:sz w:val="20"/>
                <w:szCs w:val="20"/>
              </w:rPr>
              <w:t xml:space="preserve">Vehicle Idle Reduction </w:t>
            </w:r>
            <w:r>
              <w:rPr>
                <w:sz w:val="20"/>
                <w:szCs w:val="20"/>
              </w:rPr>
              <w:t>(Standard Operating Procedure)</w:t>
            </w:r>
          </w:p>
        </w:tc>
      </w:tr>
      <w:tr w:rsidR="002978DF" w14:paraId="3F5BE272" w14:textId="77777777" w:rsidTr="00F97304">
        <w:trPr>
          <w:gridAfter w:val="1"/>
          <w:wAfter w:w="2876" w:type="dxa"/>
          <w:cantSplit/>
        </w:trPr>
        <w:tc>
          <w:tcPr>
            <w:tcW w:w="1789" w:type="dxa"/>
            <w:tcBorders>
              <w:top w:val="single" w:sz="4" w:space="0" w:color="A6A6A6"/>
              <w:left w:val="nil"/>
              <w:bottom w:val="nil"/>
              <w:right w:val="nil"/>
            </w:tcBorders>
          </w:tcPr>
          <w:p w14:paraId="36BB5057" w14:textId="01B01C73" w:rsidR="002978DF" w:rsidRDefault="002F2A83">
            <w:pPr>
              <w:spacing w:before="20" w:after="60" w:line="252" w:lineRule="auto"/>
              <w:ind w:left="115" w:right="60"/>
              <w:rPr>
                <w:sz w:val="20"/>
                <w:szCs w:val="20"/>
              </w:rPr>
            </w:pPr>
            <w:r>
              <w:rPr>
                <w:b/>
                <w:sz w:val="20"/>
                <w:szCs w:val="20"/>
              </w:rPr>
              <w:t>Applies to:</w:t>
            </w:r>
          </w:p>
        </w:tc>
        <w:tc>
          <w:tcPr>
            <w:tcW w:w="5173" w:type="dxa"/>
            <w:tcBorders>
              <w:top w:val="single" w:sz="4" w:space="0" w:color="A6A6A6"/>
              <w:left w:val="nil"/>
              <w:bottom w:val="nil"/>
              <w:right w:val="nil"/>
            </w:tcBorders>
          </w:tcPr>
          <w:p w14:paraId="4B05FA30" w14:textId="77777777" w:rsidR="002978DF" w:rsidRDefault="002F2A83">
            <w:pPr>
              <w:spacing w:before="40" w:after="60" w:line="252" w:lineRule="auto"/>
              <w:ind w:left="115" w:right="60"/>
              <w:rPr>
                <w:sz w:val="20"/>
                <w:szCs w:val="20"/>
              </w:rPr>
            </w:pPr>
            <w:r>
              <w:rPr>
                <w:sz w:val="20"/>
                <w:szCs w:val="20"/>
              </w:rPr>
              <w:t>All individuals who operate a PODS vehicle, including drivers, delivery associates, warehouse and yard staff, temporary staff, and contracted third-party drivers</w:t>
            </w:r>
          </w:p>
        </w:tc>
      </w:tr>
      <w:tr w:rsidR="002978DF" w14:paraId="237BD913" w14:textId="77777777" w:rsidTr="00F97304">
        <w:trPr>
          <w:cantSplit/>
        </w:trPr>
        <w:tc>
          <w:tcPr>
            <w:tcW w:w="1789" w:type="dxa"/>
            <w:tcBorders>
              <w:top w:val="single" w:sz="12" w:space="0" w:color="000000"/>
              <w:left w:val="nil"/>
              <w:bottom w:val="single" w:sz="12" w:space="0" w:color="000000"/>
              <w:right w:val="nil"/>
            </w:tcBorders>
          </w:tcPr>
          <w:p w14:paraId="430B158B" w14:textId="77777777" w:rsidR="002978DF" w:rsidRDefault="002F2A83">
            <w:pPr>
              <w:spacing w:before="40" w:after="20" w:line="252" w:lineRule="auto"/>
              <w:ind w:left="115" w:right="60"/>
              <w:rPr>
                <w:sz w:val="20"/>
                <w:szCs w:val="20"/>
              </w:rPr>
            </w:pPr>
            <w:r>
              <w:rPr>
                <w:b/>
                <w:sz w:val="20"/>
                <w:szCs w:val="20"/>
              </w:rPr>
              <w:t>Prepared by</w:t>
            </w:r>
          </w:p>
          <w:p w14:paraId="1B463F14" w14:textId="7D4EE259" w:rsidR="002978DF" w:rsidRDefault="00603968">
            <w:pPr>
              <w:spacing w:after="60" w:line="252" w:lineRule="auto"/>
              <w:ind w:left="115" w:right="60"/>
              <w:rPr>
                <w:sz w:val="20"/>
                <w:szCs w:val="20"/>
              </w:rPr>
            </w:pPr>
            <w:r>
              <w:rPr>
                <w:i/>
                <w:sz w:val="20"/>
                <w:szCs w:val="20"/>
              </w:rPr>
              <w:t>Field Operations</w:t>
            </w:r>
          </w:p>
        </w:tc>
        <w:tc>
          <w:tcPr>
            <w:tcW w:w="5173" w:type="dxa"/>
            <w:tcBorders>
              <w:top w:val="single" w:sz="12" w:space="0" w:color="000000"/>
              <w:left w:val="nil"/>
              <w:bottom w:val="single" w:sz="12" w:space="0" w:color="000000"/>
              <w:right w:val="nil"/>
            </w:tcBorders>
          </w:tcPr>
          <w:p w14:paraId="70EEA3FA" w14:textId="77777777" w:rsidR="002978DF" w:rsidRDefault="002F2A83">
            <w:pPr>
              <w:spacing w:before="40" w:after="20" w:line="252" w:lineRule="auto"/>
              <w:ind w:left="115" w:right="60"/>
              <w:jc w:val="center"/>
              <w:rPr>
                <w:sz w:val="20"/>
                <w:szCs w:val="20"/>
              </w:rPr>
            </w:pPr>
            <w:r>
              <w:rPr>
                <w:b/>
                <w:sz w:val="20"/>
                <w:szCs w:val="20"/>
              </w:rPr>
              <w:t>Effective Date</w:t>
            </w:r>
          </w:p>
          <w:p w14:paraId="0E159320" w14:textId="77777777" w:rsidR="002978DF" w:rsidRDefault="002F2A83">
            <w:pPr>
              <w:spacing w:after="60" w:line="252" w:lineRule="auto"/>
              <w:ind w:left="115" w:right="60"/>
              <w:jc w:val="center"/>
              <w:rPr>
                <w:sz w:val="20"/>
                <w:szCs w:val="20"/>
              </w:rPr>
            </w:pPr>
            <w:r>
              <w:rPr>
                <w:sz w:val="20"/>
                <w:szCs w:val="20"/>
              </w:rPr>
              <w:t>August 10, 2026</w:t>
            </w:r>
          </w:p>
        </w:tc>
        <w:tc>
          <w:tcPr>
            <w:tcW w:w="2876" w:type="dxa"/>
            <w:tcBorders>
              <w:top w:val="single" w:sz="12" w:space="0" w:color="000000"/>
              <w:left w:val="nil"/>
              <w:bottom w:val="single" w:sz="12" w:space="0" w:color="000000"/>
              <w:right w:val="nil"/>
            </w:tcBorders>
          </w:tcPr>
          <w:p w14:paraId="6CB9FC47" w14:textId="77777777" w:rsidR="002978DF" w:rsidRDefault="002F2A83">
            <w:pPr>
              <w:spacing w:before="40" w:after="20" w:line="252" w:lineRule="auto"/>
              <w:ind w:left="115" w:right="60"/>
              <w:jc w:val="center"/>
              <w:rPr>
                <w:sz w:val="20"/>
                <w:szCs w:val="20"/>
              </w:rPr>
            </w:pPr>
            <w:r>
              <w:rPr>
                <w:b/>
                <w:sz w:val="20"/>
                <w:szCs w:val="20"/>
              </w:rPr>
              <w:t>Number of Pages</w:t>
            </w:r>
          </w:p>
          <w:p w14:paraId="36101ED6" w14:textId="33CA2B4C" w:rsidR="002978DF" w:rsidRDefault="00F97304">
            <w:pPr>
              <w:spacing w:after="60" w:line="252" w:lineRule="auto"/>
              <w:ind w:left="115" w:right="60"/>
              <w:jc w:val="center"/>
              <w:rPr>
                <w:sz w:val="20"/>
                <w:szCs w:val="20"/>
              </w:rPr>
            </w:pPr>
            <w:r>
              <w:rPr>
                <w:i/>
                <w:sz w:val="20"/>
                <w:szCs w:val="20"/>
              </w:rPr>
              <w:t>4</w:t>
            </w:r>
          </w:p>
        </w:tc>
      </w:tr>
    </w:tbl>
    <w:p w14:paraId="614385DE" w14:textId="77777777" w:rsidR="002978DF" w:rsidRDefault="002978DF">
      <w:pPr>
        <w:spacing w:line="252" w:lineRule="auto"/>
        <w:ind w:left="240"/>
        <w:rPr>
          <w:sz w:val="20"/>
          <w:szCs w:val="20"/>
        </w:rPr>
      </w:pPr>
    </w:p>
    <w:p w14:paraId="767378ED" w14:textId="77777777" w:rsidR="002978DF" w:rsidRDefault="002F2A83">
      <w:pPr>
        <w:keepNext/>
        <w:keepLines/>
        <w:spacing w:before="360" w:after="120"/>
        <w:ind w:left="240"/>
        <w:rPr>
          <w:b/>
        </w:rPr>
      </w:pPr>
      <w:r>
        <w:rPr>
          <w:b/>
          <w:spacing w:val="-2"/>
          <w:u w:val="thick"/>
        </w:rPr>
        <w:t>Purpose</w:t>
      </w:r>
    </w:p>
    <w:p w14:paraId="46F30FC9" w14:textId="77777777" w:rsidR="002978DF" w:rsidRDefault="002F2A83">
      <w:pPr>
        <w:spacing w:after="140" w:line="252" w:lineRule="auto"/>
        <w:ind w:left="240" w:right="356"/>
        <w:rPr>
          <w:sz w:val="20"/>
          <w:szCs w:val="20"/>
        </w:rPr>
      </w:pPr>
      <w:r>
        <w:rPr>
          <w:sz w:val="20"/>
          <w:szCs w:val="20"/>
        </w:rPr>
        <w:t xml:space="preserve">This Standard Operating Procedure (SOP) defines the required steps for limiting engine idling in PODS vehicles. Unnecessary idling wastes </w:t>
      </w:r>
      <w:proofErr w:type="gramStart"/>
      <w:r>
        <w:rPr>
          <w:sz w:val="20"/>
          <w:szCs w:val="20"/>
        </w:rPr>
        <w:t>fuel,</w:t>
      </w:r>
      <w:proofErr w:type="gramEnd"/>
      <w:r>
        <w:rPr>
          <w:sz w:val="20"/>
          <w:szCs w:val="20"/>
        </w:rPr>
        <w:t xml:space="preserve"> accelerates engine wear, contributes to air pollution, and creates avoidable noise in the residential and commercial areas where PODS operates.</w:t>
      </w:r>
    </w:p>
    <w:p w14:paraId="75B17D3D" w14:textId="77777777" w:rsidR="002978DF" w:rsidRDefault="002F2A83">
      <w:pPr>
        <w:spacing w:after="140" w:line="252" w:lineRule="auto"/>
        <w:ind w:left="240" w:right="356"/>
        <w:rPr>
          <w:sz w:val="20"/>
          <w:szCs w:val="20"/>
        </w:rPr>
      </w:pPr>
      <w:r>
        <w:rPr>
          <w:sz w:val="20"/>
          <w:szCs w:val="20"/>
        </w:rPr>
        <w:t xml:space="preserve">This SOP supports the </w:t>
      </w:r>
      <w:r>
        <w:rPr>
          <w:i/>
          <w:sz w:val="20"/>
          <w:szCs w:val="20"/>
        </w:rPr>
        <w:t>[Fleet Safety and Vehicle Operations Policy]</w:t>
      </w:r>
      <w:r>
        <w:rPr>
          <w:sz w:val="20"/>
          <w:szCs w:val="20"/>
        </w:rPr>
        <w:t>, which establishes PODS' commitment to safe vehicle operation, fuel efficiency, emissions reduction, and compliance with applicable idling laws. Where this SOP and the governing policy differ, the policy controls.</w:t>
      </w:r>
    </w:p>
    <w:p w14:paraId="351E8A97" w14:textId="77777777" w:rsidR="002978DF" w:rsidRDefault="002F2A83">
      <w:pPr>
        <w:keepNext/>
        <w:keepLines/>
        <w:spacing w:before="360" w:after="120"/>
        <w:ind w:left="240"/>
        <w:rPr>
          <w:b/>
        </w:rPr>
      </w:pPr>
      <w:r>
        <w:rPr>
          <w:b/>
          <w:spacing w:val="-2"/>
          <w:u w:val="thick"/>
        </w:rPr>
        <w:t>Scope</w:t>
      </w:r>
    </w:p>
    <w:p w14:paraId="6FB79F64" w14:textId="77777777" w:rsidR="002978DF" w:rsidRDefault="002F2A83">
      <w:pPr>
        <w:spacing w:after="140" w:line="252" w:lineRule="auto"/>
        <w:ind w:left="240" w:right="356"/>
        <w:rPr>
          <w:sz w:val="20"/>
          <w:szCs w:val="20"/>
        </w:rPr>
      </w:pPr>
      <w:r>
        <w:rPr>
          <w:sz w:val="20"/>
          <w:szCs w:val="20"/>
        </w:rPr>
        <w:t>This SOP applies to:</w:t>
      </w:r>
    </w:p>
    <w:p w14:paraId="726AA5AD" w14:textId="77777777" w:rsidR="002978DF" w:rsidRDefault="002F2A83">
      <w:pPr>
        <w:numPr>
          <w:ilvl w:val="0"/>
          <w:numId w:val="1"/>
        </w:numPr>
        <w:spacing w:after="80" w:line="252" w:lineRule="auto"/>
        <w:ind w:left="600" w:right="356" w:hanging="280"/>
        <w:rPr>
          <w:sz w:val="20"/>
          <w:szCs w:val="20"/>
        </w:rPr>
      </w:pPr>
      <w:r>
        <w:rPr>
          <w:sz w:val="20"/>
          <w:szCs w:val="20"/>
        </w:rPr>
        <w:t>All PODS-owned, leased, or rented vehicles, including trucks, trailers with auxiliary power units, forklifts, and other motorized equipment</w:t>
      </w:r>
    </w:p>
    <w:p w14:paraId="0062E2D9" w14:textId="77777777" w:rsidR="002978DF" w:rsidRDefault="002F2A83">
      <w:pPr>
        <w:numPr>
          <w:ilvl w:val="0"/>
          <w:numId w:val="1"/>
        </w:numPr>
        <w:spacing w:after="80" w:line="252" w:lineRule="auto"/>
        <w:ind w:left="600" w:right="356" w:hanging="280"/>
        <w:rPr>
          <w:sz w:val="20"/>
          <w:szCs w:val="20"/>
        </w:rPr>
      </w:pPr>
      <w:r>
        <w:rPr>
          <w:sz w:val="20"/>
          <w:szCs w:val="20"/>
        </w:rPr>
        <w:t>All individuals who operate a PODS vehicle, including employees, temporary staff, and contracted third-party drivers</w:t>
      </w:r>
    </w:p>
    <w:p w14:paraId="6CA56231" w14:textId="77777777" w:rsidR="002978DF" w:rsidRDefault="002F2A83">
      <w:pPr>
        <w:numPr>
          <w:ilvl w:val="0"/>
          <w:numId w:val="1"/>
        </w:numPr>
        <w:spacing w:after="80" w:line="252" w:lineRule="auto"/>
        <w:ind w:left="600" w:right="356" w:hanging="280"/>
        <w:rPr>
          <w:sz w:val="20"/>
          <w:szCs w:val="20"/>
        </w:rPr>
      </w:pPr>
      <w:r>
        <w:rPr>
          <w:sz w:val="20"/>
          <w:szCs w:val="20"/>
        </w:rPr>
        <w:t>All locations, including customer sites, warehouses, storage centers, distribution facilities, and public roadways</w:t>
      </w:r>
    </w:p>
    <w:p w14:paraId="1FB4D6F5" w14:textId="02C791D1" w:rsidR="002978DF" w:rsidRDefault="002F2A83">
      <w:pPr>
        <w:spacing w:before="120" w:after="140" w:line="252" w:lineRule="auto"/>
        <w:ind w:left="240" w:right="356"/>
        <w:rPr>
          <w:sz w:val="20"/>
          <w:szCs w:val="20"/>
        </w:rPr>
      </w:pPr>
      <w:r>
        <w:rPr>
          <w:b/>
          <w:sz w:val="20"/>
          <w:szCs w:val="20"/>
        </w:rPr>
        <w:t xml:space="preserve">Non-employee drivers. </w:t>
      </w:r>
      <w:r>
        <w:rPr>
          <w:sz w:val="20"/>
          <w:szCs w:val="20"/>
        </w:rPr>
        <w:t xml:space="preserve">This SOP applies to temporary staff and contracted drivers as an operating requirement </w:t>
      </w:r>
      <w:proofErr w:type="gramStart"/>
      <w:r>
        <w:rPr>
          <w:sz w:val="20"/>
          <w:szCs w:val="20"/>
        </w:rPr>
        <w:t>of</w:t>
      </w:r>
      <w:proofErr w:type="gramEnd"/>
      <w:r>
        <w:rPr>
          <w:sz w:val="20"/>
          <w:szCs w:val="20"/>
        </w:rPr>
        <w:t xml:space="preserve"> performing work for PODS. </w:t>
      </w:r>
    </w:p>
    <w:p w14:paraId="77A73F1B" w14:textId="77777777" w:rsidR="002978DF" w:rsidRDefault="002F2A83">
      <w:pPr>
        <w:keepNext/>
        <w:keepLines/>
        <w:spacing w:before="360" w:after="120"/>
        <w:ind w:left="240"/>
        <w:rPr>
          <w:b/>
        </w:rPr>
      </w:pPr>
      <w:r>
        <w:rPr>
          <w:b/>
          <w:spacing w:val="-2"/>
          <w:u w:val="thick"/>
        </w:rPr>
        <w:t>Definitions</w:t>
      </w:r>
    </w:p>
    <w:p w14:paraId="662CE14C" w14:textId="77777777" w:rsidR="002978DF" w:rsidRDefault="002F2A83">
      <w:pPr>
        <w:numPr>
          <w:ilvl w:val="0"/>
          <w:numId w:val="1"/>
        </w:numPr>
        <w:spacing w:after="80" w:line="252" w:lineRule="auto"/>
        <w:ind w:left="600" w:right="356" w:hanging="280"/>
        <w:rPr>
          <w:sz w:val="20"/>
          <w:szCs w:val="20"/>
        </w:rPr>
      </w:pPr>
      <w:r>
        <w:rPr>
          <w:b/>
          <w:sz w:val="20"/>
          <w:szCs w:val="20"/>
        </w:rPr>
        <w:t xml:space="preserve">Idling. </w:t>
      </w:r>
      <w:r>
        <w:rPr>
          <w:sz w:val="20"/>
          <w:szCs w:val="20"/>
        </w:rPr>
        <w:t>The engine is running while the vehicle is stationary and is not performing a function that requires engine power.</w:t>
      </w:r>
    </w:p>
    <w:p w14:paraId="62CC0F6D" w14:textId="77777777" w:rsidR="002978DF" w:rsidRDefault="002F2A83">
      <w:pPr>
        <w:numPr>
          <w:ilvl w:val="0"/>
          <w:numId w:val="1"/>
        </w:numPr>
        <w:spacing w:after="80" w:line="252" w:lineRule="auto"/>
        <w:ind w:left="600" w:right="356" w:hanging="280"/>
        <w:rPr>
          <w:sz w:val="20"/>
          <w:szCs w:val="20"/>
        </w:rPr>
      </w:pPr>
      <w:r>
        <w:rPr>
          <w:b/>
          <w:sz w:val="20"/>
          <w:szCs w:val="20"/>
        </w:rPr>
        <w:t xml:space="preserve">Idle event. </w:t>
      </w:r>
      <w:r>
        <w:rPr>
          <w:sz w:val="20"/>
          <w:szCs w:val="20"/>
        </w:rPr>
        <w:t>Any continuous period of idling captured by telematics or observed directly by a supervisor.</w:t>
      </w:r>
    </w:p>
    <w:p w14:paraId="4978BB3D" w14:textId="77777777" w:rsidR="002978DF" w:rsidRDefault="002F2A83">
      <w:pPr>
        <w:numPr>
          <w:ilvl w:val="0"/>
          <w:numId w:val="1"/>
        </w:numPr>
        <w:spacing w:after="80" w:line="252" w:lineRule="auto"/>
        <w:ind w:left="600" w:right="356" w:hanging="280"/>
        <w:rPr>
          <w:sz w:val="20"/>
          <w:szCs w:val="20"/>
        </w:rPr>
      </w:pPr>
      <w:r>
        <w:rPr>
          <w:b/>
          <w:sz w:val="20"/>
          <w:szCs w:val="20"/>
        </w:rPr>
        <w:t xml:space="preserve">Permitted exception. </w:t>
      </w:r>
      <w:r>
        <w:rPr>
          <w:sz w:val="20"/>
          <w:szCs w:val="20"/>
        </w:rPr>
        <w:t>A circumstance listed in Procedure section 2 under which idling beyond the limit is allowed.</w:t>
      </w:r>
    </w:p>
    <w:p w14:paraId="37B3E98E" w14:textId="77777777" w:rsidR="002978DF" w:rsidRDefault="002F2A83">
      <w:pPr>
        <w:numPr>
          <w:ilvl w:val="0"/>
          <w:numId w:val="1"/>
        </w:numPr>
        <w:spacing w:after="80" w:line="252" w:lineRule="auto"/>
        <w:ind w:left="600" w:right="356" w:hanging="280"/>
        <w:rPr>
          <w:sz w:val="20"/>
          <w:szCs w:val="20"/>
        </w:rPr>
      </w:pPr>
      <w:r>
        <w:rPr>
          <w:b/>
          <w:sz w:val="20"/>
          <w:szCs w:val="20"/>
        </w:rPr>
        <w:t xml:space="preserve">PTO (power take-off). </w:t>
      </w:r>
      <w:r>
        <w:rPr>
          <w:sz w:val="20"/>
          <w:szCs w:val="20"/>
        </w:rPr>
        <w:t>A system that transfers engine power to auxiliary equipment such as lift gates, hydraulics, or refrigeration units.</w:t>
      </w:r>
    </w:p>
    <w:p w14:paraId="0C13B0A0" w14:textId="77777777" w:rsidR="002978DF" w:rsidRDefault="002F2A83">
      <w:pPr>
        <w:keepNext/>
        <w:keepLines/>
        <w:spacing w:before="360" w:after="120"/>
        <w:ind w:left="240"/>
        <w:rPr>
          <w:b/>
        </w:rPr>
      </w:pPr>
      <w:r>
        <w:rPr>
          <w:b/>
          <w:spacing w:val="-2"/>
          <w:u w:val="thick"/>
        </w:rPr>
        <w:lastRenderedPageBreak/>
        <w:t>Procedure</w:t>
      </w:r>
    </w:p>
    <w:p w14:paraId="6A6B9AE7" w14:textId="77777777" w:rsidR="002978DF" w:rsidRDefault="002F2A83">
      <w:pPr>
        <w:keepNext/>
        <w:keepLines/>
        <w:spacing w:before="200" w:after="80" w:line="252" w:lineRule="auto"/>
        <w:ind w:left="240" w:right="356"/>
        <w:rPr>
          <w:sz w:val="20"/>
          <w:szCs w:val="20"/>
        </w:rPr>
      </w:pPr>
      <w:r>
        <w:rPr>
          <w:b/>
          <w:sz w:val="20"/>
          <w:szCs w:val="20"/>
        </w:rPr>
        <w:t>1</w:t>
      </w:r>
      <w:proofErr w:type="gramStart"/>
      <w:r>
        <w:rPr>
          <w:b/>
          <w:sz w:val="20"/>
          <w:szCs w:val="20"/>
        </w:rPr>
        <w:t>.  Four</w:t>
      </w:r>
      <w:proofErr w:type="gramEnd"/>
      <w:r>
        <w:rPr>
          <w:b/>
          <w:sz w:val="20"/>
          <w:szCs w:val="20"/>
        </w:rPr>
        <w:t>-Minute Idle Limit</w:t>
      </w:r>
    </w:p>
    <w:p w14:paraId="3D227346" w14:textId="77777777" w:rsidR="002978DF" w:rsidRDefault="002F2A83">
      <w:pPr>
        <w:spacing w:after="140" w:line="252" w:lineRule="auto"/>
        <w:ind w:left="240" w:right="356"/>
        <w:rPr>
          <w:sz w:val="20"/>
          <w:szCs w:val="20"/>
        </w:rPr>
      </w:pPr>
      <w:r>
        <w:rPr>
          <w:sz w:val="20"/>
          <w:szCs w:val="20"/>
        </w:rPr>
        <w:t>Do not idle a PODS vehicle for more than four (4) consecutive minutes unless a permitted exception in section 2 applies.</w:t>
      </w:r>
    </w:p>
    <w:p w14:paraId="6DAD18B9" w14:textId="77777777" w:rsidR="002978DF" w:rsidRDefault="002F2A83">
      <w:pPr>
        <w:spacing w:after="140" w:line="252" w:lineRule="auto"/>
        <w:ind w:left="240" w:right="356"/>
        <w:rPr>
          <w:sz w:val="20"/>
          <w:szCs w:val="20"/>
        </w:rPr>
      </w:pPr>
      <w:r>
        <w:rPr>
          <w:b/>
          <w:sz w:val="20"/>
          <w:szCs w:val="20"/>
        </w:rPr>
        <w:t xml:space="preserve">When the four minutes begin. </w:t>
      </w:r>
      <w:r>
        <w:rPr>
          <w:sz w:val="20"/>
          <w:szCs w:val="20"/>
        </w:rPr>
        <w:t xml:space="preserve">The period begins the moment the vehicle comes to a complete </w:t>
      </w:r>
      <w:proofErr w:type="gramStart"/>
      <w:r>
        <w:rPr>
          <w:sz w:val="20"/>
          <w:szCs w:val="20"/>
        </w:rPr>
        <w:t>stop</w:t>
      </w:r>
      <w:proofErr w:type="gramEnd"/>
      <w:r>
        <w:rPr>
          <w:sz w:val="20"/>
          <w:szCs w:val="20"/>
        </w:rPr>
        <w:t xml:space="preserve"> and the driver is not actively preparing to resume </w:t>
      </w:r>
      <w:proofErr w:type="gramStart"/>
      <w:r>
        <w:rPr>
          <w:sz w:val="20"/>
          <w:szCs w:val="20"/>
        </w:rPr>
        <w:t>driving —</w:t>
      </w:r>
      <w:proofErr w:type="gramEnd"/>
      <w:r>
        <w:rPr>
          <w:sz w:val="20"/>
          <w:szCs w:val="20"/>
        </w:rPr>
        <w:t xml:space="preserve"> that is, not mid-maneuver and not waiting to merge into traffic.</w:t>
      </w:r>
    </w:p>
    <w:p w14:paraId="249A584F" w14:textId="77777777" w:rsidR="002978DF" w:rsidRDefault="002F2A83">
      <w:pPr>
        <w:spacing w:after="140" w:line="252" w:lineRule="auto"/>
        <w:ind w:left="240" w:right="356"/>
        <w:rPr>
          <w:sz w:val="20"/>
          <w:szCs w:val="20"/>
        </w:rPr>
      </w:pPr>
      <w:r>
        <w:rPr>
          <w:sz w:val="20"/>
          <w:szCs w:val="20"/>
        </w:rPr>
        <w:t xml:space="preserve">Shut off the engine whenever the vehicle is parked, stopped, or </w:t>
      </w:r>
      <w:proofErr w:type="gramStart"/>
      <w:r>
        <w:rPr>
          <w:sz w:val="20"/>
          <w:szCs w:val="20"/>
        </w:rPr>
        <w:t>waiting</w:t>
      </w:r>
      <w:proofErr w:type="gramEnd"/>
      <w:r>
        <w:rPr>
          <w:sz w:val="20"/>
          <w:szCs w:val="20"/>
        </w:rPr>
        <w:t xml:space="preserve"> longer than four minutes, including:</w:t>
      </w:r>
    </w:p>
    <w:p w14:paraId="503AA624" w14:textId="77777777" w:rsidR="002978DF" w:rsidRDefault="002F2A83">
      <w:pPr>
        <w:numPr>
          <w:ilvl w:val="0"/>
          <w:numId w:val="1"/>
        </w:numPr>
        <w:spacing w:after="80" w:line="252" w:lineRule="auto"/>
        <w:ind w:left="600" w:right="356" w:hanging="280"/>
        <w:rPr>
          <w:sz w:val="20"/>
          <w:szCs w:val="20"/>
        </w:rPr>
      </w:pPr>
      <w:r>
        <w:rPr>
          <w:sz w:val="20"/>
          <w:szCs w:val="20"/>
        </w:rPr>
        <w:t>Waiting at a customer location before or after a delivery or pickup</w:t>
      </w:r>
    </w:p>
    <w:p w14:paraId="75048BF1" w14:textId="77777777" w:rsidR="002978DF" w:rsidRDefault="002F2A83">
      <w:pPr>
        <w:numPr>
          <w:ilvl w:val="0"/>
          <w:numId w:val="1"/>
        </w:numPr>
        <w:spacing w:after="80" w:line="252" w:lineRule="auto"/>
        <w:ind w:left="600" w:right="356" w:hanging="280"/>
        <w:rPr>
          <w:sz w:val="20"/>
          <w:szCs w:val="20"/>
        </w:rPr>
      </w:pPr>
      <w:r>
        <w:rPr>
          <w:sz w:val="20"/>
          <w:szCs w:val="20"/>
        </w:rPr>
        <w:t>Waiting in a queue at a warehouse, yard, or storage center</w:t>
      </w:r>
    </w:p>
    <w:p w14:paraId="4A7986B9" w14:textId="77777777" w:rsidR="002978DF" w:rsidRDefault="002F2A83">
      <w:pPr>
        <w:numPr>
          <w:ilvl w:val="0"/>
          <w:numId w:val="1"/>
        </w:numPr>
        <w:spacing w:after="80" w:line="252" w:lineRule="auto"/>
        <w:ind w:left="600" w:right="356" w:hanging="280"/>
        <w:rPr>
          <w:sz w:val="20"/>
          <w:szCs w:val="20"/>
        </w:rPr>
      </w:pPr>
      <w:r>
        <w:rPr>
          <w:sz w:val="20"/>
          <w:szCs w:val="20"/>
        </w:rPr>
        <w:t>Taking a rest, meal, or personal break</w:t>
      </w:r>
    </w:p>
    <w:p w14:paraId="33324FE2" w14:textId="77777777" w:rsidR="002978DF" w:rsidRDefault="002F2A83">
      <w:pPr>
        <w:numPr>
          <w:ilvl w:val="0"/>
          <w:numId w:val="1"/>
        </w:numPr>
        <w:spacing w:after="80" w:line="252" w:lineRule="auto"/>
        <w:ind w:left="600" w:right="356" w:hanging="280"/>
        <w:rPr>
          <w:sz w:val="20"/>
          <w:szCs w:val="20"/>
        </w:rPr>
      </w:pPr>
      <w:r>
        <w:rPr>
          <w:sz w:val="20"/>
          <w:szCs w:val="20"/>
        </w:rPr>
        <w:t>Waiting for paperwork, signatures, or instructions</w:t>
      </w:r>
    </w:p>
    <w:p w14:paraId="2C2F616D" w14:textId="77777777" w:rsidR="002978DF" w:rsidRDefault="002F2A83">
      <w:pPr>
        <w:numPr>
          <w:ilvl w:val="0"/>
          <w:numId w:val="1"/>
        </w:numPr>
        <w:spacing w:after="80" w:line="252" w:lineRule="auto"/>
        <w:ind w:left="600" w:right="356" w:hanging="280"/>
        <w:rPr>
          <w:sz w:val="20"/>
          <w:szCs w:val="20"/>
        </w:rPr>
      </w:pPr>
      <w:r>
        <w:rPr>
          <w:sz w:val="20"/>
          <w:szCs w:val="20"/>
        </w:rPr>
        <w:t xml:space="preserve">Any other non-driving </w:t>
      </w:r>
      <w:proofErr w:type="gramStart"/>
      <w:r>
        <w:rPr>
          <w:sz w:val="20"/>
          <w:szCs w:val="20"/>
        </w:rPr>
        <w:t>stop</w:t>
      </w:r>
      <w:proofErr w:type="gramEnd"/>
      <w:r>
        <w:rPr>
          <w:sz w:val="20"/>
          <w:szCs w:val="20"/>
        </w:rPr>
        <w:t xml:space="preserve"> where the vehicle is not actively performing a required function</w:t>
      </w:r>
    </w:p>
    <w:p w14:paraId="30B961A6" w14:textId="77777777" w:rsidR="002978DF" w:rsidRDefault="002F2A83">
      <w:pPr>
        <w:spacing w:before="100" w:after="140" w:line="252" w:lineRule="auto"/>
        <w:ind w:left="240" w:right="356"/>
        <w:rPr>
          <w:sz w:val="20"/>
          <w:szCs w:val="20"/>
        </w:rPr>
      </w:pPr>
      <w:r>
        <w:rPr>
          <w:b/>
          <w:sz w:val="20"/>
          <w:szCs w:val="20"/>
        </w:rPr>
        <w:t xml:space="preserve">Shut down proactively. </w:t>
      </w:r>
      <w:r>
        <w:rPr>
          <w:sz w:val="20"/>
          <w:szCs w:val="20"/>
        </w:rPr>
        <w:t>Turn the engine off as soon as it becomes apparent that a stop will exceed four minutes. Do not wait for the full four minutes to elapse.</w:t>
      </w:r>
    </w:p>
    <w:p w14:paraId="52E3E8FB" w14:textId="77777777" w:rsidR="002978DF" w:rsidRDefault="002F2A83">
      <w:pPr>
        <w:keepNext/>
        <w:keepLines/>
        <w:spacing w:before="200" w:after="80" w:line="252" w:lineRule="auto"/>
        <w:ind w:left="240" w:right="356"/>
        <w:rPr>
          <w:sz w:val="20"/>
          <w:szCs w:val="20"/>
        </w:rPr>
      </w:pPr>
      <w:r>
        <w:rPr>
          <w:b/>
          <w:sz w:val="20"/>
          <w:szCs w:val="20"/>
        </w:rPr>
        <w:t>2</w:t>
      </w:r>
      <w:proofErr w:type="gramStart"/>
      <w:r>
        <w:rPr>
          <w:b/>
          <w:sz w:val="20"/>
          <w:szCs w:val="20"/>
        </w:rPr>
        <w:t>.  Permitted</w:t>
      </w:r>
      <w:proofErr w:type="gramEnd"/>
      <w:r>
        <w:rPr>
          <w:b/>
          <w:sz w:val="20"/>
          <w:szCs w:val="20"/>
        </w:rPr>
        <w:t xml:space="preserve"> Exceptions</w:t>
      </w:r>
    </w:p>
    <w:p w14:paraId="0C6DD08F" w14:textId="77777777" w:rsidR="002978DF" w:rsidRDefault="002F2A83">
      <w:pPr>
        <w:spacing w:after="100" w:line="252" w:lineRule="auto"/>
        <w:ind w:left="240" w:right="356"/>
        <w:rPr>
          <w:sz w:val="20"/>
          <w:szCs w:val="20"/>
        </w:rPr>
      </w:pPr>
      <w:proofErr w:type="gramStart"/>
      <w:r>
        <w:rPr>
          <w:sz w:val="20"/>
          <w:szCs w:val="20"/>
        </w:rPr>
        <w:t>Idling beyond</w:t>
      </w:r>
      <w:proofErr w:type="gramEnd"/>
      <w:r>
        <w:rPr>
          <w:sz w:val="20"/>
          <w:szCs w:val="20"/>
        </w:rPr>
        <w:t xml:space="preserve"> four minutes is permitted only under the circumstances below.</w:t>
      </w:r>
    </w:p>
    <w:tbl>
      <w:tblPr>
        <w:tblW w:w="9838" w:type="dxa"/>
        <w:tblInd w:w="240" w:type="dxa"/>
        <w:tblLayout w:type="fixed"/>
        <w:tblCellMar>
          <w:top w:w="60" w:type="dxa"/>
          <w:left w:w="0" w:type="dxa"/>
          <w:bottom w:w="60" w:type="dxa"/>
          <w:right w:w="150" w:type="dxa"/>
        </w:tblCellMar>
        <w:tblLook w:val="00A0" w:firstRow="1" w:lastRow="0" w:firstColumn="1" w:lastColumn="0" w:noHBand="0" w:noVBand="0"/>
      </w:tblPr>
      <w:tblGrid>
        <w:gridCol w:w="2900"/>
        <w:gridCol w:w="6938"/>
      </w:tblGrid>
      <w:tr w:rsidR="002978DF" w14:paraId="0F41F63E" w14:textId="77777777">
        <w:trPr>
          <w:cantSplit/>
          <w:tblHeader/>
        </w:trPr>
        <w:tc>
          <w:tcPr>
            <w:tcW w:w="2900" w:type="dxa"/>
            <w:tcBorders>
              <w:top w:val="single" w:sz="12" w:space="0" w:color="000000"/>
              <w:left w:val="nil"/>
              <w:bottom w:val="single" w:sz="6" w:space="0" w:color="000000"/>
              <w:right w:val="nil"/>
            </w:tcBorders>
          </w:tcPr>
          <w:p w14:paraId="6BE6BC96" w14:textId="77777777" w:rsidR="002978DF" w:rsidRDefault="002F2A83">
            <w:pPr>
              <w:spacing w:before="20" w:after="60" w:line="252" w:lineRule="auto"/>
              <w:ind w:left="115" w:right="60"/>
              <w:rPr>
                <w:sz w:val="20"/>
                <w:szCs w:val="20"/>
              </w:rPr>
            </w:pPr>
            <w:r>
              <w:rPr>
                <w:b/>
                <w:sz w:val="20"/>
                <w:szCs w:val="20"/>
              </w:rPr>
              <w:t>Exception Category</w:t>
            </w:r>
          </w:p>
        </w:tc>
        <w:tc>
          <w:tcPr>
            <w:tcW w:w="6938" w:type="dxa"/>
            <w:tcBorders>
              <w:top w:val="single" w:sz="12" w:space="0" w:color="000000"/>
              <w:left w:val="nil"/>
              <w:bottom w:val="single" w:sz="6" w:space="0" w:color="000000"/>
              <w:right w:val="nil"/>
            </w:tcBorders>
          </w:tcPr>
          <w:p w14:paraId="0DDDC101" w14:textId="77777777" w:rsidR="002978DF" w:rsidRDefault="002F2A83">
            <w:pPr>
              <w:spacing w:before="20" w:after="60" w:line="252" w:lineRule="auto"/>
              <w:ind w:left="115" w:right="60"/>
              <w:rPr>
                <w:sz w:val="20"/>
                <w:szCs w:val="20"/>
              </w:rPr>
            </w:pPr>
            <w:r>
              <w:rPr>
                <w:b/>
                <w:sz w:val="20"/>
                <w:szCs w:val="20"/>
              </w:rPr>
              <w:t>Applies When</w:t>
            </w:r>
          </w:p>
        </w:tc>
      </w:tr>
      <w:tr w:rsidR="002978DF" w14:paraId="18218441" w14:textId="77777777">
        <w:trPr>
          <w:cantSplit/>
        </w:trPr>
        <w:tc>
          <w:tcPr>
            <w:tcW w:w="2900" w:type="dxa"/>
            <w:tcBorders>
              <w:top w:val="nil"/>
              <w:left w:val="nil"/>
              <w:bottom w:val="single" w:sz="4" w:space="0" w:color="A6A6A6"/>
              <w:right w:val="nil"/>
            </w:tcBorders>
          </w:tcPr>
          <w:p w14:paraId="709068CF" w14:textId="77777777" w:rsidR="002978DF" w:rsidRDefault="002F2A83">
            <w:pPr>
              <w:spacing w:before="20" w:after="60" w:line="252" w:lineRule="auto"/>
              <w:ind w:left="115" w:right="60"/>
              <w:rPr>
                <w:sz w:val="20"/>
                <w:szCs w:val="20"/>
              </w:rPr>
            </w:pPr>
            <w:r>
              <w:rPr>
                <w:b/>
                <w:sz w:val="20"/>
                <w:szCs w:val="20"/>
              </w:rPr>
              <w:t>Traffic delays</w:t>
            </w:r>
          </w:p>
        </w:tc>
        <w:tc>
          <w:tcPr>
            <w:tcW w:w="6938" w:type="dxa"/>
            <w:tcBorders>
              <w:top w:val="nil"/>
              <w:left w:val="nil"/>
              <w:bottom w:val="single" w:sz="4" w:space="0" w:color="A6A6A6"/>
              <w:right w:val="nil"/>
            </w:tcBorders>
          </w:tcPr>
          <w:p w14:paraId="6F11C78E" w14:textId="77777777" w:rsidR="002978DF" w:rsidRDefault="002F2A83">
            <w:pPr>
              <w:spacing w:before="20" w:after="60" w:line="252" w:lineRule="auto"/>
              <w:ind w:left="115" w:right="60"/>
              <w:rPr>
                <w:sz w:val="20"/>
                <w:szCs w:val="20"/>
              </w:rPr>
            </w:pPr>
            <w:r>
              <w:rPr>
                <w:sz w:val="20"/>
                <w:szCs w:val="20"/>
              </w:rPr>
              <w:t>Stationary in congestion, at a railroad crossing, or in a queue the driver cannot safely or legally exit.</w:t>
            </w:r>
          </w:p>
        </w:tc>
      </w:tr>
      <w:tr w:rsidR="002978DF" w14:paraId="6C728C19" w14:textId="77777777">
        <w:trPr>
          <w:cantSplit/>
        </w:trPr>
        <w:tc>
          <w:tcPr>
            <w:tcW w:w="2900" w:type="dxa"/>
            <w:tcBorders>
              <w:top w:val="nil"/>
              <w:left w:val="nil"/>
              <w:bottom w:val="single" w:sz="4" w:space="0" w:color="A6A6A6"/>
              <w:right w:val="nil"/>
            </w:tcBorders>
          </w:tcPr>
          <w:p w14:paraId="58DB7A38" w14:textId="77777777" w:rsidR="002978DF" w:rsidRDefault="002F2A83">
            <w:pPr>
              <w:spacing w:before="20" w:after="60" w:line="252" w:lineRule="auto"/>
              <w:ind w:left="115" w:right="60"/>
              <w:rPr>
                <w:sz w:val="20"/>
                <w:szCs w:val="20"/>
              </w:rPr>
            </w:pPr>
            <w:r>
              <w:rPr>
                <w:b/>
                <w:sz w:val="20"/>
                <w:szCs w:val="20"/>
              </w:rPr>
              <w:t>Emergency situations</w:t>
            </w:r>
          </w:p>
        </w:tc>
        <w:tc>
          <w:tcPr>
            <w:tcW w:w="6938" w:type="dxa"/>
            <w:tcBorders>
              <w:top w:val="nil"/>
              <w:left w:val="nil"/>
              <w:bottom w:val="single" w:sz="4" w:space="0" w:color="A6A6A6"/>
              <w:right w:val="nil"/>
            </w:tcBorders>
          </w:tcPr>
          <w:p w14:paraId="76EC908E" w14:textId="77777777" w:rsidR="002978DF" w:rsidRDefault="002F2A83">
            <w:pPr>
              <w:spacing w:before="20" w:after="60" w:line="252" w:lineRule="auto"/>
              <w:ind w:left="115" w:right="60"/>
              <w:rPr>
                <w:sz w:val="20"/>
                <w:szCs w:val="20"/>
              </w:rPr>
            </w:pPr>
            <w:r>
              <w:rPr>
                <w:sz w:val="20"/>
                <w:szCs w:val="20"/>
              </w:rPr>
              <w:t>Roadside emergency, accident, or breakdown, or when directed to remain in the vehicle by law enforcement or emergency personnel.</w:t>
            </w:r>
          </w:p>
        </w:tc>
      </w:tr>
      <w:tr w:rsidR="002978DF" w14:paraId="7A466CAC" w14:textId="77777777">
        <w:trPr>
          <w:cantSplit/>
        </w:trPr>
        <w:tc>
          <w:tcPr>
            <w:tcW w:w="2900" w:type="dxa"/>
            <w:tcBorders>
              <w:top w:val="nil"/>
              <w:left w:val="nil"/>
              <w:bottom w:val="single" w:sz="4" w:space="0" w:color="A6A6A6"/>
              <w:right w:val="nil"/>
            </w:tcBorders>
          </w:tcPr>
          <w:p w14:paraId="0175864F" w14:textId="77777777" w:rsidR="002978DF" w:rsidRDefault="002F2A83">
            <w:pPr>
              <w:spacing w:before="20" w:after="60" w:line="252" w:lineRule="auto"/>
              <w:ind w:left="115" w:right="60"/>
              <w:rPr>
                <w:sz w:val="20"/>
                <w:szCs w:val="20"/>
              </w:rPr>
            </w:pPr>
            <w:r>
              <w:rPr>
                <w:b/>
                <w:sz w:val="20"/>
                <w:szCs w:val="20"/>
              </w:rPr>
              <w:t>Extreme weather</w:t>
            </w:r>
          </w:p>
        </w:tc>
        <w:tc>
          <w:tcPr>
            <w:tcW w:w="6938" w:type="dxa"/>
            <w:tcBorders>
              <w:top w:val="nil"/>
              <w:left w:val="nil"/>
              <w:bottom w:val="single" w:sz="4" w:space="0" w:color="A6A6A6"/>
              <w:right w:val="nil"/>
            </w:tcBorders>
          </w:tcPr>
          <w:p w14:paraId="14AE357B" w14:textId="77777777" w:rsidR="002978DF" w:rsidRDefault="002F2A83">
            <w:pPr>
              <w:spacing w:before="20" w:after="60" w:line="252" w:lineRule="auto"/>
              <w:ind w:left="115" w:right="60"/>
              <w:rPr>
                <w:sz w:val="20"/>
                <w:szCs w:val="20"/>
              </w:rPr>
            </w:pPr>
            <w:r>
              <w:rPr>
                <w:sz w:val="20"/>
                <w:szCs w:val="20"/>
              </w:rPr>
              <w:t>Maintaining safe cabin temperature during extreme heat or cold, where shutting off the engine would create a legitimate health or safety risk.</w:t>
            </w:r>
          </w:p>
        </w:tc>
      </w:tr>
      <w:tr w:rsidR="002978DF" w14:paraId="1FE8CB41" w14:textId="77777777">
        <w:trPr>
          <w:cantSplit/>
        </w:trPr>
        <w:tc>
          <w:tcPr>
            <w:tcW w:w="2900" w:type="dxa"/>
            <w:tcBorders>
              <w:top w:val="nil"/>
              <w:left w:val="nil"/>
              <w:bottom w:val="single" w:sz="4" w:space="0" w:color="A6A6A6"/>
              <w:right w:val="nil"/>
            </w:tcBorders>
          </w:tcPr>
          <w:p w14:paraId="7AC408A4" w14:textId="77777777" w:rsidR="002978DF" w:rsidRDefault="002F2A83">
            <w:pPr>
              <w:spacing w:before="20" w:after="60" w:line="252" w:lineRule="auto"/>
              <w:ind w:left="115" w:right="60"/>
              <w:rPr>
                <w:sz w:val="20"/>
                <w:szCs w:val="20"/>
              </w:rPr>
            </w:pPr>
            <w:r>
              <w:rPr>
                <w:b/>
                <w:sz w:val="20"/>
                <w:szCs w:val="20"/>
              </w:rPr>
              <w:t>Maintenance and diagnostics</w:t>
            </w:r>
          </w:p>
        </w:tc>
        <w:tc>
          <w:tcPr>
            <w:tcW w:w="6938" w:type="dxa"/>
            <w:tcBorders>
              <w:top w:val="nil"/>
              <w:left w:val="nil"/>
              <w:bottom w:val="single" w:sz="4" w:space="0" w:color="A6A6A6"/>
              <w:right w:val="nil"/>
            </w:tcBorders>
          </w:tcPr>
          <w:p w14:paraId="4D8C7171" w14:textId="77777777" w:rsidR="002978DF" w:rsidRDefault="002F2A83">
            <w:pPr>
              <w:spacing w:before="20" w:after="60" w:line="252" w:lineRule="auto"/>
              <w:ind w:left="115" w:right="60"/>
              <w:rPr>
                <w:sz w:val="20"/>
                <w:szCs w:val="20"/>
              </w:rPr>
            </w:pPr>
            <w:r>
              <w:rPr>
                <w:sz w:val="20"/>
                <w:szCs w:val="20"/>
              </w:rPr>
              <w:t>Manufacturer-recommended warm-up, diagnostic checks, or maintenance functions specified by fleet maintenance.</w:t>
            </w:r>
          </w:p>
        </w:tc>
      </w:tr>
      <w:tr w:rsidR="002978DF" w14:paraId="036B0C44" w14:textId="77777777">
        <w:trPr>
          <w:cantSplit/>
        </w:trPr>
        <w:tc>
          <w:tcPr>
            <w:tcW w:w="2900" w:type="dxa"/>
            <w:tcBorders>
              <w:top w:val="nil"/>
              <w:left w:val="nil"/>
              <w:bottom w:val="single" w:sz="4" w:space="0" w:color="A6A6A6"/>
              <w:right w:val="nil"/>
            </w:tcBorders>
          </w:tcPr>
          <w:p w14:paraId="40CA2FDD" w14:textId="77777777" w:rsidR="002978DF" w:rsidRDefault="002F2A83">
            <w:pPr>
              <w:spacing w:before="20" w:after="60" w:line="252" w:lineRule="auto"/>
              <w:ind w:left="115" w:right="60"/>
              <w:rPr>
                <w:sz w:val="20"/>
                <w:szCs w:val="20"/>
              </w:rPr>
            </w:pPr>
            <w:r>
              <w:rPr>
                <w:b/>
                <w:sz w:val="20"/>
                <w:szCs w:val="20"/>
              </w:rPr>
              <w:t>Essential equipment operation</w:t>
            </w:r>
          </w:p>
        </w:tc>
        <w:tc>
          <w:tcPr>
            <w:tcW w:w="6938" w:type="dxa"/>
            <w:tcBorders>
              <w:top w:val="nil"/>
              <w:left w:val="nil"/>
              <w:bottom w:val="single" w:sz="4" w:space="0" w:color="A6A6A6"/>
              <w:right w:val="nil"/>
            </w:tcBorders>
          </w:tcPr>
          <w:p w14:paraId="279B146B" w14:textId="77777777" w:rsidR="002978DF" w:rsidRDefault="002F2A83">
            <w:pPr>
              <w:spacing w:before="20" w:after="60" w:line="252" w:lineRule="auto"/>
              <w:ind w:left="115" w:right="60"/>
              <w:rPr>
                <w:sz w:val="20"/>
                <w:szCs w:val="20"/>
              </w:rPr>
            </w:pPr>
            <w:r>
              <w:rPr>
                <w:sz w:val="20"/>
                <w:szCs w:val="20"/>
              </w:rPr>
              <w:t>Operating PTO systems, lift gates, hydraulic equipment, refrigeration units, or other equipment that requires the engine to run.</w:t>
            </w:r>
          </w:p>
        </w:tc>
      </w:tr>
      <w:tr w:rsidR="002978DF" w14:paraId="014A9595" w14:textId="77777777">
        <w:trPr>
          <w:cantSplit/>
        </w:trPr>
        <w:tc>
          <w:tcPr>
            <w:tcW w:w="2900" w:type="dxa"/>
            <w:tcBorders>
              <w:top w:val="nil"/>
              <w:left w:val="nil"/>
              <w:bottom w:val="single" w:sz="12" w:space="0" w:color="000000"/>
              <w:right w:val="nil"/>
            </w:tcBorders>
          </w:tcPr>
          <w:p w14:paraId="3CC23371" w14:textId="77777777" w:rsidR="002978DF" w:rsidRDefault="002F2A83">
            <w:pPr>
              <w:spacing w:before="20" w:after="60" w:line="252" w:lineRule="auto"/>
              <w:ind w:left="115" w:right="60"/>
              <w:rPr>
                <w:sz w:val="20"/>
                <w:szCs w:val="20"/>
              </w:rPr>
            </w:pPr>
            <w:r>
              <w:rPr>
                <w:b/>
                <w:sz w:val="20"/>
                <w:szCs w:val="20"/>
              </w:rPr>
              <w:t>Legal or regulatory requirement</w:t>
            </w:r>
          </w:p>
        </w:tc>
        <w:tc>
          <w:tcPr>
            <w:tcW w:w="6938" w:type="dxa"/>
            <w:tcBorders>
              <w:top w:val="nil"/>
              <w:left w:val="nil"/>
              <w:bottom w:val="single" w:sz="12" w:space="0" w:color="000000"/>
              <w:right w:val="nil"/>
            </w:tcBorders>
          </w:tcPr>
          <w:p w14:paraId="013C4C5F" w14:textId="77777777" w:rsidR="002978DF" w:rsidRDefault="002F2A83">
            <w:pPr>
              <w:spacing w:before="20" w:after="60" w:line="252" w:lineRule="auto"/>
              <w:ind w:left="115" w:right="60"/>
              <w:rPr>
                <w:sz w:val="20"/>
                <w:szCs w:val="20"/>
              </w:rPr>
            </w:pPr>
            <w:r>
              <w:rPr>
                <w:sz w:val="20"/>
                <w:szCs w:val="20"/>
              </w:rPr>
              <w:t xml:space="preserve">Idling </w:t>
            </w:r>
            <w:proofErr w:type="gramStart"/>
            <w:r>
              <w:rPr>
                <w:sz w:val="20"/>
                <w:szCs w:val="20"/>
              </w:rPr>
              <w:t>required</w:t>
            </w:r>
            <w:proofErr w:type="gramEnd"/>
            <w:r>
              <w:rPr>
                <w:sz w:val="20"/>
                <w:szCs w:val="20"/>
              </w:rPr>
              <w:t xml:space="preserve"> to comply with a specific law, regulation, or directive from a law enforcement or government official.</w:t>
            </w:r>
          </w:p>
        </w:tc>
      </w:tr>
    </w:tbl>
    <w:p w14:paraId="25592A08" w14:textId="77777777" w:rsidR="002978DF" w:rsidRDefault="002978DF">
      <w:pPr>
        <w:spacing w:after="60" w:line="252" w:lineRule="auto"/>
        <w:ind w:left="240"/>
        <w:rPr>
          <w:sz w:val="20"/>
          <w:szCs w:val="20"/>
        </w:rPr>
      </w:pPr>
    </w:p>
    <w:p w14:paraId="68AE3D05" w14:textId="77777777" w:rsidR="002978DF" w:rsidRDefault="002F2A83">
      <w:pPr>
        <w:spacing w:before="140" w:after="140" w:line="252" w:lineRule="auto"/>
        <w:ind w:left="240" w:right="356"/>
        <w:rPr>
          <w:sz w:val="20"/>
          <w:szCs w:val="20"/>
        </w:rPr>
      </w:pPr>
      <w:r>
        <w:rPr>
          <w:b/>
          <w:sz w:val="20"/>
          <w:szCs w:val="20"/>
        </w:rPr>
        <w:t xml:space="preserve">Duration. </w:t>
      </w:r>
      <w:r>
        <w:rPr>
          <w:sz w:val="20"/>
          <w:szCs w:val="20"/>
        </w:rPr>
        <w:t xml:space="preserve">An exception applies only for as long as reasonably necessary to address the circumstance. Once the qualifying condition ends — traffic clears, weather moderates, the equipment task completes — shut off the engine if the vehicle </w:t>
      </w:r>
      <w:proofErr w:type="gramStart"/>
      <w:r>
        <w:rPr>
          <w:sz w:val="20"/>
          <w:szCs w:val="20"/>
        </w:rPr>
        <w:t>will remain</w:t>
      </w:r>
      <w:proofErr w:type="gramEnd"/>
      <w:r>
        <w:rPr>
          <w:sz w:val="20"/>
          <w:szCs w:val="20"/>
        </w:rPr>
        <w:t xml:space="preserve"> stationary.</w:t>
      </w:r>
    </w:p>
    <w:p w14:paraId="7F67DEA3" w14:textId="77777777" w:rsidR="002978DF" w:rsidRDefault="002F2A83">
      <w:pPr>
        <w:keepNext/>
        <w:keepLines/>
        <w:spacing w:before="200" w:after="80" w:line="252" w:lineRule="auto"/>
        <w:ind w:left="240" w:right="356"/>
        <w:rPr>
          <w:sz w:val="20"/>
          <w:szCs w:val="20"/>
        </w:rPr>
      </w:pPr>
      <w:r>
        <w:rPr>
          <w:b/>
          <w:sz w:val="20"/>
          <w:szCs w:val="20"/>
        </w:rPr>
        <w:t>3</w:t>
      </w:r>
      <w:proofErr w:type="gramStart"/>
      <w:r>
        <w:rPr>
          <w:b/>
          <w:sz w:val="20"/>
          <w:szCs w:val="20"/>
        </w:rPr>
        <w:t>.  Exceptions</w:t>
      </w:r>
      <w:proofErr w:type="gramEnd"/>
      <w:r>
        <w:rPr>
          <w:b/>
          <w:sz w:val="20"/>
          <w:szCs w:val="20"/>
        </w:rPr>
        <w:t xml:space="preserve"> Outside the Listed Categories</w:t>
      </w:r>
    </w:p>
    <w:p w14:paraId="4ED51870" w14:textId="40DBF945" w:rsidR="002978DF" w:rsidRDefault="002F2A83">
      <w:pPr>
        <w:spacing w:after="140" w:line="252" w:lineRule="auto"/>
        <w:ind w:left="240" w:right="356"/>
        <w:rPr>
          <w:sz w:val="20"/>
          <w:szCs w:val="20"/>
        </w:rPr>
      </w:pPr>
      <w:r w:rsidRPr="75B93945">
        <w:rPr>
          <w:sz w:val="20"/>
          <w:szCs w:val="20"/>
        </w:rPr>
        <w:t xml:space="preserve">If a driver believes idling beyond four minutes is necessary for a reason not listed in section 2, the driver notifies their supervisor as soon as practical. The supervisor records the circumstance and the approval decision in </w:t>
      </w:r>
      <w:r w:rsidR="58670AC5" w:rsidRPr="75B93945">
        <w:rPr>
          <w:sz w:val="20"/>
          <w:szCs w:val="20"/>
        </w:rPr>
        <w:t xml:space="preserve">local records </w:t>
      </w:r>
      <w:r w:rsidRPr="75B93945">
        <w:rPr>
          <w:sz w:val="20"/>
          <w:szCs w:val="20"/>
        </w:rPr>
        <w:t xml:space="preserve">within one business day. Approval authority rests with </w:t>
      </w:r>
      <w:r w:rsidR="4AB052E7" w:rsidRPr="75B93945">
        <w:rPr>
          <w:sz w:val="20"/>
          <w:szCs w:val="20"/>
        </w:rPr>
        <w:t xml:space="preserve">Marekt Manager and </w:t>
      </w:r>
      <w:r w:rsidR="4AB052E7" w:rsidRPr="75B93945">
        <w:rPr>
          <w:sz w:val="20"/>
          <w:szCs w:val="20"/>
        </w:rPr>
        <w:lastRenderedPageBreak/>
        <w:t xml:space="preserve">Territory Manager. </w:t>
      </w:r>
      <w:r w:rsidRPr="75B93945">
        <w:rPr>
          <w:sz w:val="20"/>
          <w:szCs w:val="20"/>
        </w:rPr>
        <w:t>Where the same non-standard condition recurs at a location, the supervisor escalates it to Fleet Safety for a standing determination rather than approving it repeatedly, so the exception is applied consistently across locations.</w:t>
      </w:r>
    </w:p>
    <w:p w14:paraId="60175907" w14:textId="77777777" w:rsidR="002978DF" w:rsidRDefault="002F2A83">
      <w:pPr>
        <w:keepNext/>
        <w:keepLines/>
        <w:spacing w:before="200" w:after="80" w:line="252" w:lineRule="auto"/>
        <w:ind w:left="240" w:right="356"/>
        <w:rPr>
          <w:sz w:val="20"/>
          <w:szCs w:val="20"/>
        </w:rPr>
      </w:pPr>
      <w:r>
        <w:rPr>
          <w:b/>
          <w:sz w:val="20"/>
          <w:szCs w:val="20"/>
        </w:rPr>
        <w:t>4</w:t>
      </w:r>
      <w:proofErr w:type="gramStart"/>
      <w:r>
        <w:rPr>
          <w:b/>
          <w:sz w:val="20"/>
          <w:szCs w:val="20"/>
        </w:rPr>
        <w:t>.  Local</w:t>
      </w:r>
      <w:proofErr w:type="gramEnd"/>
      <w:r>
        <w:rPr>
          <w:b/>
          <w:sz w:val="20"/>
          <w:szCs w:val="20"/>
        </w:rPr>
        <w:t xml:space="preserve"> Idling Laws</w:t>
      </w:r>
    </w:p>
    <w:p w14:paraId="7ABF414C" w14:textId="77777777" w:rsidR="002978DF" w:rsidRDefault="002F2A83">
      <w:pPr>
        <w:spacing w:after="140" w:line="252" w:lineRule="auto"/>
        <w:ind w:left="240" w:right="356"/>
        <w:rPr>
          <w:sz w:val="20"/>
          <w:szCs w:val="20"/>
        </w:rPr>
      </w:pPr>
      <w:r>
        <w:rPr>
          <w:sz w:val="20"/>
          <w:szCs w:val="20"/>
        </w:rPr>
        <w:t>Many states, counties, and municipalities have anti-idling laws that impose stricter limits — in some cases as low as one to three minutes — and carry their own penalties. Where local law is stricter than this SOP, the stricter standard applies. Drivers and supervisors are responsible for knowing and following the local limits in the areas where they operate.</w:t>
      </w:r>
    </w:p>
    <w:p w14:paraId="1639060F" w14:textId="77777777" w:rsidR="002978DF" w:rsidRDefault="002F2A83">
      <w:pPr>
        <w:keepNext/>
        <w:keepLines/>
        <w:spacing w:before="200" w:after="80" w:line="252" w:lineRule="auto"/>
        <w:ind w:left="240" w:right="356"/>
        <w:rPr>
          <w:sz w:val="20"/>
          <w:szCs w:val="20"/>
        </w:rPr>
      </w:pPr>
      <w:r>
        <w:rPr>
          <w:b/>
          <w:sz w:val="20"/>
          <w:szCs w:val="20"/>
        </w:rPr>
        <w:t>5</w:t>
      </w:r>
      <w:proofErr w:type="gramStart"/>
      <w:r>
        <w:rPr>
          <w:b/>
          <w:sz w:val="20"/>
          <w:szCs w:val="20"/>
        </w:rPr>
        <w:t>.  Equipment</w:t>
      </w:r>
      <w:proofErr w:type="gramEnd"/>
      <w:r>
        <w:rPr>
          <w:b/>
          <w:sz w:val="20"/>
          <w:szCs w:val="20"/>
        </w:rPr>
        <w:t xml:space="preserve"> Issues Affecting Compliance</w:t>
      </w:r>
    </w:p>
    <w:p w14:paraId="24AA3442" w14:textId="77777777" w:rsidR="002978DF" w:rsidRDefault="002F2A83">
      <w:pPr>
        <w:spacing w:after="140" w:line="252" w:lineRule="auto"/>
        <w:ind w:left="240" w:right="356"/>
        <w:rPr>
          <w:sz w:val="20"/>
          <w:szCs w:val="20"/>
        </w:rPr>
      </w:pPr>
      <w:r>
        <w:rPr>
          <w:sz w:val="20"/>
          <w:szCs w:val="20"/>
        </w:rPr>
        <w:t>Report any vehicle condition that makes compliance difficult — faulty ignition, cab climate control failure, or similar — to a supervisor and to fleet maintenance the same day. A reported condition does not serve as a standing justification for extended idling once repair or replacement is available.</w:t>
      </w:r>
    </w:p>
    <w:p w14:paraId="30A39468" w14:textId="77777777" w:rsidR="002978DF" w:rsidRDefault="002F2A83">
      <w:pPr>
        <w:keepNext/>
        <w:keepLines/>
        <w:spacing w:before="200" w:after="80" w:line="252" w:lineRule="auto"/>
        <w:ind w:left="240" w:right="356"/>
        <w:rPr>
          <w:sz w:val="20"/>
          <w:szCs w:val="20"/>
        </w:rPr>
      </w:pPr>
      <w:r>
        <w:rPr>
          <w:b/>
          <w:sz w:val="20"/>
          <w:szCs w:val="20"/>
        </w:rPr>
        <w:t>6</w:t>
      </w:r>
      <w:proofErr w:type="gramStart"/>
      <w:r>
        <w:rPr>
          <w:b/>
          <w:sz w:val="20"/>
          <w:szCs w:val="20"/>
        </w:rPr>
        <w:t>.  Monitoring</w:t>
      </w:r>
      <w:proofErr w:type="gramEnd"/>
      <w:r>
        <w:rPr>
          <w:b/>
          <w:sz w:val="20"/>
          <w:szCs w:val="20"/>
        </w:rPr>
        <w:t xml:space="preserve"> and Data Use</w:t>
      </w:r>
    </w:p>
    <w:p w14:paraId="0E8117C0" w14:textId="77777777" w:rsidR="002978DF" w:rsidRDefault="002F2A83">
      <w:pPr>
        <w:numPr>
          <w:ilvl w:val="0"/>
          <w:numId w:val="1"/>
        </w:numPr>
        <w:spacing w:after="80" w:line="252" w:lineRule="auto"/>
        <w:ind w:left="600" w:right="356" w:hanging="280"/>
        <w:rPr>
          <w:sz w:val="20"/>
          <w:szCs w:val="20"/>
        </w:rPr>
      </w:pPr>
      <w:r>
        <w:rPr>
          <w:sz w:val="20"/>
          <w:szCs w:val="20"/>
        </w:rPr>
        <w:t>PODS uses telematics, GPS, engine diagnostic data, and fuel consumption reports to monitor vehicle idle time.</w:t>
      </w:r>
    </w:p>
    <w:p w14:paraId="0978DC8C" w14:textId="23D8FBBF" w:rsidR="002978DF" w:rsidRDefault="002F2A83">
      <w:pPr>
        <w:numPr>
          <w:ilvl w:val="0"/>
          <w:numId w:val="1"/>
        </w:numPr>
        <w:spacing w:after="80" w:line="252" w:lineRule="auto"/>
        <w:ind w:left="600" w:right="356" w:hanging="280"/>
        <w:rPr>
          <w:sz w:val="20"/>
          <w:szCs w:val="20"/>
        </w:rPr>
      </w:pPr>
      <w:r w:rsidRPr="75B93945">
        <w:rPr>
          <w:sz w:val="20"/>
          <w:szCs w:val="20"/>
        </w:rPr>
        <w:t xml:space="preserve">Idle-time reports are reviewed on a </w:t>
      </w:r>
      <w:r w:rsidR="24B82FC5" w:rsidRPr="75B93945">
        <w:rPr>
          <w:sz w:val="20"/>
          <w:szCs w:val="20"/>
        </w:rPr>
        <w:t>weekly</w:t>
      </w:r>
      <w:r w:rsidRPr="75B93945">
        <w:rPr>
          <w:sz w:val="20"/>
          <w:szCs w:val="20"/>
        </w:rPr>
        <w:t xml:space="preserve"> basis by Fleet Safety, Operations, and location management to identify trends, coach individual drivers, and recognize consistent compliance.</w:t>
      </w:r>
    </w:p>
    <w:p w14:paraId="7CB19862" w14:textId="77777777" w:rsidR="002978DF" w:rsidRDefault="002F2A83">
      <w:pPr>
        <w:numPr>
          <w:ilvl w:val="0"/>
          <w:numId w:val="1"/>
        </w:numPr>
        <w:spacing w:after="80" w:line="252" w:lineRule="auto"/>
        <w:ind w:left="600" w:right="356" w:hanging="280"/>
        <w:rPr>
          <w:sz w:val="20"/>
          <w:szCs w:val="20"/>
        </w:rPr>
      </w:pPr>
      <w:r>
        <w:rPr>
          <w:sz w:val="20"/>
          <w:szCs w:val="20"/>
        </w:rPr>
        <w:t>Aggregate idle-time data supports fleet fuel efficiency and emissions goals and helps identify operational conditions — such as long wait times at specific customer sites — that drive excessive idling.</w:t>
      </w:r>
    </w:p>
    <w:p w14:paraId="442FEA47" w14:textId="77777777" w:rsidR="002978DF" w:rsidRDefault="002F2A83">
      <w:pPr>
        <w:numPr>
          <w:ilvl w:val="0"/>
          <w:numId w:val="1"/>
        </w:numPr>
        <w:spacing w:after="80" w:line="252" w:lineRule="auto"/>
        <w:ind w:left="600" w:right="356" w:hanging="280"/>
        <w:rPr>
          <w:sz w:val="20"/>
          <w:szCs w:val="20"/>
        </w:rPr>
      </w:pPr>
      <w:r>
        <w:rPr>
          <w:sz w:val="20"/>
          <w:szCs w:val="20"/>
        </w:rPr>
        <w:t>Drivers are notified of vehicle telematics monitoring at hire and during annual refresher training. Monitoring is limited to vehicle operation data.</w:t>
      </w:r>
    </w:p>
    <w:p w14:paraId="7D3B773D" w14:textId="77777777" w:rsidR="002978DF" w:rsidRDefault="002F2A83">
      <w:pPr>
        <w:keepNext/>
        <w:keepLines/>
        <w:spacing w:before="360" w:after="120"/>
        <w:ind w:left="240"/>
        <w:rPr>
          <w:b/>
        </w:rPr>
      </w:pPr>
      <w:r>
        <w:rPr>
          <w:b/>
          <w:spacing w:val="-2"/>
          <w:u w:val="thick"/>
        </w:rPr>
        <w:t>Responsibilities</w:t>
      </w:r>
    </w:p>
    <w:tbl>
      <w:tblPr>
        <w:tblW w:w="9838" w:type="dxa"/>
        <w:tblInd w:w="240" w:type="dxa"/>
        <w:tblLayout w:type="fixed"/>
        <w:tblCellMar>
          <w:top w:w="60" w:type="dxa"/>
          <w:left w:w="0" w:type="dxa"/>
          <w:bottom w:w="60" w:type="dxa"/>
          <w:right w:w="150" w:type="dxa"/>
        </w:tblCellMar>
        <w:tblLook w:val="00A0" w:firstRow="1" w:lastRow="0" w:firstColumn="1" w:lastColumn="0" w:noHBand="0" w:noVBand="0"/>
      </w:tblPr>
      <w:tblGrid>
        <w:gridCol w:w="2900"/>
        <w:gridCol w:w="6938"/>
      </w:tblGrid>
      <w:tr w:rsidR="002978DF" w14:paraId="1D35F2E0" w14:textId="77777777">
        <w:trPr>
          <w:cantSplit/>
          <w:tblHeader/>
        </w:trPr>
        <w:tc>
          <w:tcPr>
            <w:tcW w:w="2900" w:type="dxa"/>
            <w:tcBorders>
              <w:top w:val="single" w:sz="12" w:space="0" w:color="000000"/>
              <w:left w:val="nil"/>
              <w:bottom w:val="single" w:sz="6" w:space="0" w:color="000000"/>
              <w:right w:val="nil"/>
            </w:tcBorders>
          </w:tcPr>
          <w:p w14:paraId="6D5A4A01" w14:textId="77777777" w:rsidR="002978DF" w:rsidRDefault="002F2A83">
            <w:pPr>
              <w:spacing w:before="20" w:after="60" w:line="252" w:lineRule="auto"/>
              <w:ind w:left="115" w:right="60"/>
              <w:rPr>
                <w:sz w:val="20"/>
                <w:szCs w:val="20"/>
              </w:rPr>
            </w:pPr>
            <w:r>
              <w:rPr>
                <w:b/>
                <w:sz w:val="20"/>
                <w:szCs w:val="20"/>
              </w:rPr>
              <w:t>Role</w:t>
            </w:r>
          </w:p>
        </w:tc>
        <w:tc>
          <w:tcPr>
            <w:tcW w:w="6938" w:type="dxa"/>
            <w:tcBorders>
              <w:top w:val="single" w:sz="12" w:space="0" w:color="000000"/>
              <w:left w:val="nil"/>
              <w:bottom w:val="single" w:sz="6" w:space="0" w:color="000000"/>
              <w:right w:val="nil"/>
            </w:tcBorders>
          </w:tcPr>
          <w:p w14:paraId="3BD60977" w14:textId="77777777" w:rsidR="002978DF" w:rsidRDefault="002F2A83">
            <w:pPr>
              <w:spacing w:before="20" w:after="60" w:line="252" w:lineRule="auto"/>
              <w:ind w:left="115" w:right="60"/>
              <w:rPr>
                <w:sz w:val="20"/>
                <w:szCs w:val="20"/>
              </w:rPr>
            </w:pPr>
            <w:r>
              <w:rPr>
                <w:b/>
                <w:sz w:val="20"/>
                <w:szCs w:val="20"/>
              </w:rPr>
              <w:t>Responsibility</w:t>
            </w:r>
          </w:p>
        </w:tc>
      </w:tr>
      <w:tr w:rsidR="002978DF" w14:paraId="5CFA0CB5" w14:textId="77777777">
        <w:trPr>
          <w:cantSplit/>
        </w:trPr>
        <w:tc>
          <w:tcPr>
            <w:tcW w:w="2900" w:type="dxa"/>
            <w:tcBorders>
              <w:top w:val="nil"/>
              <w:left w:val="nil"/>
              <w:bottom w:val="single" w:sz="4" w:space="0" w:color="A6A6A6"/>
              <w:right w:val="nil"/>
            </w:tcBorders>
          </w:tcPr>
          <w:p w14:paraId="39B32A48" w14:textId="77777777" w:rsidR="002978DF" w:rsidRDefault="002F2A83">
            <w:pPr>
              <w:spacing w:before="20" w:after="60" w:line="252" w:lineRule="auto"/>
              <w:ind w:left="115" w:right="60"/>
              <w:rPr>
                <w:sz w:val="20"/>
                <w:szCs w:val="20"/>
              </w:rPr>
            </w:pPr>
            <w:r>
              <w:rPr>
                <w:b/>
                <w:sz w:val="20"/>
                <w:szCs w:val="20"/>
              </w:rPr>
              <w:t>Drivers</w:t>
            </w:r>
          </w:p>
        </w:tc>
        <w:tc>
          <w:tcPr>
            <w:tcW w:w="6938" w:type="dxa"/>
            <w:tcBorders>
              <w:top w:val="nil"/>
              <w:left w:val="nil"/>
              <w:bottom w:val="single" w:sz="4" w:space="0" w:color="A6A6A6"/>
              <w:right w:val="nil"/>
            </w:tcBorders>
          </w:tcPr>
          <w:p w14:paraId="2969DAC2" w14:textId="77777777" w:rsidR="002978DF" w:rsidRDefault="002F2A83">
            <w:pPr>
              <w:spacing w:before="20" w:after="60" w:line="252" w:lineRule="auto"/>
              <w:ind w:left="115" w:right="60"/>
              <w:rPr>
                <w:sz w:val="20"/>
                <w:szCs w:val="20"/>
              </w:rPr>
            </w:pPr>
            <w:r>
              <w:rPr>
                <w:sz w:val="20"/>
                <w:szCs w:val="20"/>
              </w:rPr>
              <w:t xml:space="preserve">Comply with the idle limit and permitted exceptions. Shut the engine down proactively. Use idle-reduction features as intended. </w:t>
            </w:r>
            <w:proofErr w:type="gramStart"/>
            <w:r>
              <w:rPr>
                <w:sz w:val="20"/>
                <w:szCs w:val="20"/>
              </w:rPr>
              <w:t>Report</w:t>
            </w:r>
            <w:proofErr w:type="gramEnd"/>
            <w:r>
              <w:rPr>
                <w:sz w:val="20"/>
                <w:szCs w:val="20"/>
              </w:rPr>
              <w:t xml:space="preserve"> equipment issues that affect compliance the same day. Provide the reason for an extended idle event when requested.</w:t>
            </w:r>
          </w:p>
        </w:tc>
      </w:tr>
      <w:tr w:rsidR="002978DF" w14:paraId="50747BAE" w14:textId="77777777">
        <w:trPr>
          <w:cantSplit/>
        </w:trPr>
        <w:tc>
          <w:tcPr>
            <w:tcW w:w="2900" w:type="dxa"/>
            <w:tcBorders>
              <w:top w:val="nil"/>
              <w:left w:val="nil"/>
              <w:bottom w:val="single" w:sz="4" w:space="0" w:color="A6A6A6"/>
              <w:right w:val="nil"/>
            </w:tcBorders>
          </w:tcPr>
          <w:p w14:paraId="7FC6597C" w14:textId="77777777" w:rsidR="002978DF" w:rsidRDefault="002F2A83">
            <w:pPr>
              <w:spacing w:before="20" w:after="60" w:line="252" w:lineRule="auto"/>
              <w:ind w:left="115" w:right="60"/>
              <w:rPr>
                <w:sz w:val="20"/>
                <w:szCs w:val="20"/>
              </w:rPr>
            </w:pPr>
            <w:r>
              <w:rPr>
                <w:b/>
                <w:sz w:val="20"/>
                <w:szCs w:val="20"/>
              </w:rPr>
              <w:t>Supervisors and Market Managers</w:t>
            </w:r>
          </w:p>
        </w:tc>
        <w:tc>
          <w:tcPr>
            <w:tcW w:w="6938" w:type="dxa"/>
            <w:tcBorders>
              <w:top w:val="nil"/>
              <w:left w:val="nil"/>
              <w:bottom w:val="single" w:sz="4" w:space="0" w:color="A6A6A6"/>
              <w:right w:val="nil"/>
            </w:tcBorders>
          </w:tcPr>
          <w:p w14:paraId="7763F32A" w14:textId="77777777" w:rsidR="002978DF" w:rsidRDefault="002F2A83">
            <w:pPr>
              <w:spacing w:before="20" w:after="60" w:line="252" w:lineRule="auto"/>
              <w:ind w:left="115" w:right="60"/>
              <w:rPr>
                <w:sz w:val="20"/>
                <w:szCs w:val="20"/>
              </w:rPr>
            </w:pPr>
            <w:proofErr w:type="gramStart"/>
            <w:r>
              <w:rPr>
                <w:sz w:val="20"/>
                <w:szCs w:val="20"/>
              </w:rPr>
              <w:t>Communicate</w:t>
            </w:r>
            <w:proofErr w:type="gramEnd"/>
            <w:r>
              <w:rPr>
                <w:sz w:val="20"/>
                <w:szCs w:val="20"/>
              </w:rPr>
              <w:t xml:space="preserve"> this </w:t>
            </w:r>
            <w:proofErr w:type="gramStart"/>
            <w:r>
              <w:rPr>
                <w:sz w:val="20"/>
                <w:szCs w:val="20"/>
              </w:rPr>
              <w:t>SOP at</w:t>
            </w:r>
            <w:proofErr w:type="gramEnd"/>
            <w:r>
              <w:rPr>
                <w:sz w:val="20"/>
                <w:szCs w:val="20"/>
              </w:rPr>
              <w:t xml:space="preserve"> onboarding and annually. Review idle-time reporting on the defined cadence. Coach drivers on trends. Escalate recurring site conditions that drive excessive idling. Consult Human Resources before initiating formal corrective action.</w:t>
            </w:r>
          </w:p>
        </w:tc>
      </w:tr>
      <w:tr w:rsidR="002978DF" w14:paraId="3DC97428" w14:textId="77777777">
        <w:trPr>
          <w:cantSplit/>
        </w:trPr>
        <w:tc>
          <w:tcPr>
            <w:tcW w:w="2900" w:type="dxa"/>
            <w:tcBorders>
              <w:top w:val="nil"/>
              <w:left w:val="nil"/>
              <w:bottom w:val="single" w:sz="4" w:space="0" w:color="A6A6A6"/>
              <w:right w:val="nil"/>
            </w:tcBorders>
          </w:tcPr>
          <w:p w14:paraId="1FB9B1EE" w14:textId="77777777" w:rsidR="002978DF" w:rsidRDefault="002F2A83">
            <w:pPr>
              <w:spacing w:before="20" w:after="60" w:line="252" w:lineRule="auto"/>
              <w:ind w:left="115" w:right="60"/>
              <w:rPr>
                <w:sz w:val="20"/>
                <w:szCs w:val="20"/>
              </w:rPr>
            </w:pPr>
            <w:r>
              <w:rPr>
                <w:b/>
                <w:sz w:val="20"/>
                <w:szCs w:val="20"/>
              </w:rPr>
              <w:t>Fleet Safety and Operations</w:t>
            </w:r>
          </w:p>
        </w:tc>
        <w:tc>
          <w:tcPr>
            <w:tcW w:w="6938" w:type="dxa"/>
            <w:tcBorders>
              <w:top w:val="nil"/>
              <w:left w:val="nil"/>
              <w:bottom w:val="single" w:sz="4" w:space="0" w:color="A6A6A6"/>
              <w:right w:val="nil"/>
            </w:tcBorders>
          </w:tcPr>
          <w:p w14:paraId="31EBCAA2" w14:textId="77777777" w:rsidR="002978DF" w:rsidRDefault="002F2A83">
            <w:pPr>
              <w:spacing w:before="20" w:after="60" w:line="252" w:lineRule="auto"/>
              <w:ind w:left="115" w:right="60"/>
              <w:rPr>
                <w:sz w:val="20"/>
                <w:szCs w:val="20"/>
              </w:rPr>
            </w:pPr>
            <w:r>
              <w:rPr>
                <w:sz w:val="20"/>
                <w:szCs w:val="20"/>
              </w:rPr>
              <w:t>Own and maintain this SOP. Set the reporting cadence and thresholds. Issue standing determinations for recurring non-standard exceptions. Track known local idling limits by market and communicate them to affected locations.</w:t>
            </w:r>
          </w:p>
        </w:tc>
      </w:tr>
    </w:tbl>
    <w:p w14:paraId="662CE27C" w14:textId="77777777" w:rsidR="002978DF" w:rsidRDefault="002978DF">
      <w:pPr>
        <w:spacing w:line="252" w:lineRule="auto"/>
        <w:ind w:left="240"/>
        <w:rPr>
          <w:sz w:val="20"/>
          <w:szCs w:val="20"/>
        </w:rPr>
      </w:pPr>
    </w:p>
    <w:p w14:paraId="14C2FFEC" w14:textId="77777777" w:rsidR="00E51A37" w:rsidRDefault="00E51A37">
      <w:pPr>
        <w:spacing w:line="252" w:lineRule="auto"/>
        <w:ind w:left="240"/>
        <w:rPr>
          <w:sz w:val="20"/>
          <w:szCs w:val="20"/>
        </w:rPr>
      </w:pPr>
    </w:p>
    <w:p w14:paraId="62F9A50F" w14:textId="77777777" w:rsidR="002978DF" w:rsidRDefault="002F2A83">
      <w:pPr>
        <w:keepNext/>
        <w:keepLines/>
        <w:spacing w:before="360" w:after="120"/>
        <w:ind w:left="240"/>
        <w:rPr>
          <w:b/>
        </w:rPr>
      </w:pPr>
      <w:r>
        <w:rPr>
          <w:b/>
          <w:spacing w:val="-2"/>
          <w:u w:val="thick"/>
        </w:rPr>
        <w:t>Non-Compliance</w:t>
      </w:r>
    </w:p>
    <w:p w14:paraId="1E3E0D83" w14:textId="77777777" w:rsidR="002978DF" w:rsidRDefault="002F2A83">
      <w:pPr>
        <w:keepNext/>
        <w:keepLines/>
        <w:spacing w:before="200" w:after="80" w:line="252" w:lineRule="auto"/>
        <w:ind w:left="240" w:right="356"/>
        <w:rPr>
          <w:sz w:val="20"/>
          <w:szCs w:val="20"/>
        </w:rPr>
      </w:pPr>
      <w:r>
        <w:rPr>
          <w:b/>
          <w:sz w:val="20"/>
          <w:szCs w:val="20"/>
        </w:rPr>
        <w:t>1</w:t>
      </w:r>
      <w:proofErr w:type="gramStart"/>
      <w:r>
        <w:rPr>
          <w:b/>
          <w:sz w:val="20"/>
          <w:szCs w:val="20"/>
        </w:rPr>
        <w:t>.  Employees</w:t>
      </w:r>
      <w:proofErr w:type="gramEnd"/>
    </w:p>
    <w:p w14:paraId="4D9924FE" w14:textId="381D6D32" w:rsidR="002978DF" w:rsidRDefault="002F2A83">
      <w:pPr>
        <w:spacing w:after="140" w:line="252" w:lineRule="auto"/>
        <w:ind w:left="240" w:right="356"/>
        <w:rPr>
          <w:sz w:val="20"/>
          <w:szCs w:val="20"/>
        </w:rPr>
      </w:pPr>
      <w:r>
        <w:rPr>
          <w:sz w:val="20"/>
          <w:szCs w:val="20"/>
        </w:rPr>
        <w:t>Failure to follow this SOP is addressed under PODS'</w:t>
      </w:r>
      <w:r w:rsidR="00E51A37">
        <w:rPr>
          <w:sz w:val="20"/>
          <w:szCs w:val="20"/>
        </w:rPr>
        <w:t xml:space="preserve"> Corporate Operations Code of Conduct</w:t>
      </w:r>
      <w:r>
        <w:rPr>
          <w:sz w:val="20"/>
          <w:szCs w:val="20"/>
        </w:rPr>
        <w:t xml:space="preserve"> </w:t>
      </w:r>
      <w:r w:rsidR="00E51A37">
        <w:rPr>
          <w:sz w:val="20"/>
          <w:szCs w:val="20"/>
        </w:rPr>
        <w:t xml:space="preserve">which outlines </w:t>
      </w:r>
      <w:r w:rsidR="00E51A37">
        <w:rPr>
          <w:sz w:val="20"/>
          <w:szCs w:val="20"/>
        </w:rPr>
        <w:lastRenderedPageBreak/>
        <w:t>the progressive disciplinary policy.</w:t>
      </w:r>
    </w:p>
    <w:p w14:paraId="072D0C47" w14:textId="17E0C0CD" w:rsidR="002978DF" w:rsidRDefault="002F2A83">
      <w:pPr>
        <w:keepNext/>
        <w:keepLines/>
        <w:spacing w:before="200" w:after="80" w:line="252" w:lineRule="auto"/>
        <w:ind w:left="240" w:right="356"/>
        <w:rPr>
          <w:sz w:val="20"/>
          <w:szCs w:val="20"/>
        </w:rPr>
      </w:pPr>
      <w:r>
        <w:rPr>
          <w:b/>
          <w:sz w:val="20"/>
          <w:szCs w:val="20"/>
        </w:rPr>
        <w:t>2. Temporary Staff and Contracted Drivers</w:t>
      </w:r>
    </w:p>
    <w:p w14:paraId="663CB7C3" w14:textId="5BF2F3B3" w:rsidR="002978DF" w:rsidRDefault="002F2A83">
      <w:pPr>
        <w:spacing w:after="140" w:line="252" w:lineRule="auto"/>
        <w:ind w:left="240" w:right="356"/>
        <w:rPr>
          <w:sz w:val="20"/>
          <w:szCs w:val="20"/>
        </w:rPr>
      </w:pPr>
      <w:r>
        <w:rPr>
          <w:sz w:val="20"/>
          <w:szCs w:val="20"/>
        </w:rPr>
        <w:t>Concerns involving contracted third-party drivers are addressed through the remedies available in the applicable service agreement, up to and including removal from PODS work.</w:t>
      </w:r>
    </w:p>
    <w:p w14:paraId="6D124644" w14:textId="77777777" w:rsidR="002978DF" w:rsidRDefault="002F2A83">
      <w:pPr>
        <w:keepNext/>
        <w:keepLines/>
        <w:spacing w:before="360" w:after="120"/>
        <w:ind w:left="240"/>
        <w:rPr>
          <w:b/>
        </w:rPr>
      </w:pPr>
      <w:r>
        <w:rPr>
          <w:b/>
          <w:spacing w:val="-2"/>
          <w:u w:val="thick"/>
        </w:rPr>
        <w:t>Training and Communication</w:t>
      </w:r>
    </w:p>
    <w:p w14:paraId="711EA340" w14:textId="127C0062" w:rsidR="002978DF" w:rsidRDefault="002F2A83">
      <w:pPr>
        <w:numPr>
          <w:ilvl w:val="0"/>
          <w:numId w:val="1"/>
        </w:numPr>
        <w:spacing w:after="80" w:line="252" w:lineRule="auto"/>
        <w:ind w:left="600" w:right="356" w:hanging="280"/>
        <w:rPr>
          <w:sz w:val="20"/>
          <w:szCs w:val="20"/>
        </w:rPr>
      </w:pPr>
      <w:r>
        <w:rPr>
          <w:sz w:val="20"/>
          <w:szCs w:val="20"/>
        </w:rPr>
        <w:t>This SOP is reviewed with all applicable drivers during hire orientation and at least annually thereafter.</w:t>
      </w:r>
    </w:p>
    <w:p w14:paraId="7EB70BA6" w14:textId="77777777" w:rsidR="002978DF" w:rsidRDefault="002F2A83">
      <w:pPr>
        <w:numPr>
          <w:ilvl w:val="0"/>
          <w:numId w:val="1"/>
        </w:numPr>
        <w:spacing w:after="80" w:line="252" w:lineRule="auto"/>
        <w:ind w:left="600" w:right="356" w:hanging="280"/>
        <w:rPr>
          <w:sz w:val="20"/>
          <w:szCs w:val="20"/>
        </w:rPr>
      </w:pPr>
      <w:r>
        <w:rPr>
          <w:sz w:val="20"/>
          <w:szCs w:val="20"/>
        </w:rPr>
        <w:t xml:space="preserve">Questions are directed </w:t>
      </w:r>
      <w:proofErr w:type="gramStart"/>
      <w:r>
        <w:rPr>
          <w:sz w:val="20"/>
          <w:szCs w:val="20"/>
        </w:rPr>
        <w:t>to</w:t>
      </w:r>
      <w:proofErr w:type="gramEnd"/>
      <w:r>
        <w:rPr>
          <w:sz w:val="20"/>
          <w:szCs w:val="20"/>
        </w:rPr>
        <w:t xml:space="preserve"> the employee's direct supervisor or to Fleet Safety / Operations.</w:t>
      </w:r>
    </w:p>
    <w:p w14:paraId="4F46E799" w14:textId="77777777" w:rsidR="002978DF" w:rsidRDefault="002F2A83">
      <w:pPr>
        <w:keepNext/>
        <w:keepLines/>
        <w:spacing w:before="360" w:after="120"/>
        <w:ind w:left="240"/>
        <w:rPr>
          <w:b/>
        </w:rPr>
      </w:pPr>
      <w:r>
        <w:rPr>
          <w:b/>
          <w:spacing w:val="-2"/>
          <w:u w:val="thick"/>
        </w:rPr>
        <w:t>Review and Revision History</w:t>
      </w:r>
    </w:p>
    <w:p w14:paraId="6E2FC201" w14:textId="77777777" w:rsidR="002978DF" w:rsidRDefault="002F2A83">
      <w:pPr>
        <w:keepNext/>
        <w:keepLines/>
        <w:spacing w:after="120" w:line="252" w:lineRule="auto"/>
        <w:ind w:left="240" w:right="356"/>
        <w:rPr>
          <w:sz w:val="20"/>
          <w:szCs w:val="20"/>
        </w:rPr>
      </w:pPr>
      <w:r>
        <w:rPr>
          <w:sz w:val="20"/>
          <w:szCs w:val="20"/>
        </w:rPr>
        <w:t>Fleet Safety and Operations review this SOP annually, and sooner if fleet technology, operating conditions, or applicable law change.</w:t>
      </w:r>
    </w:p>
    <w:tbl>
      <w:tblPr>
        <w:tblW w:w="9838" w:type="dxa"/>
        <w:tblInd w:w="240" w:type="dxa"/>
        <w:tblLayout w:type="fixed"/>
        <w:tblCellMar>
          <w:top w:w="60" w:type="dxa"/>
          <w:left w:w="0" w:type="dxa"/>
          <w:bottom w:w="60" w:type="dxa"/>
          <w:right w:w="150" w:type="dxa"/>
        </w:tblCellMar>
        <w:tblLook w:val="00A0" w:firstRow="1" w:lastRow="0" w:firstColumn="1" w:lastColumn="0" w:noHBand="0" w:noVBand="0"/>
      </w:tblPr>
      <w:tblGrid>
        <w:gridCol w:w="1200"/>
        <w:gridCol w:w="1900"/>
        <w:gridCol w:w="4738"/>
        <w:gridCol w:w="2000"/>
      </w:tblGrid>
      <w:tr w:rsidR="002978DF" w14:paraId="71A26FEE" w14:textId="77777777">
        <w:trPr>
          <w:cantSplit/>
          <w:tblHeader/>
        </w:trPr>
        <w:tc>
          <w:tcPr>
            <w:tcW w:w="1200" w:type="dxa"/>
            <w:tcBorders>
              <w:top w:val="single" w:sz="12" w:space="0" w:color="000000"/>
              <w:left w:val="nil"/>
              <w:bottom w:val="single" w:sz="6" w:space="0" w:color="000000"/>
              <w:right w:val="nil"/>
            </w:tcBorders>
          </w:tcPr>
          <w:p w14:paraId="39329002" w14:textId="77777777" w:rsidR="002978DF" w:rsidRDefault="002F2A83">
            <w:pPr>
              <w:spacing w:before="20" w:after="60" w:line="252" w:lineRule="auto"/>
              <w:ind w:left="115" w:right="60"/>
              <w:rPr>
                <w:sz w:val="20"/>
                <w:szCs w:val="20"/>
              </w:rPr>
            </w:pPr>
            <w:r>
              <w:rPr>
                <w:b/>
                <w:sz w:val="20"/>
                <w:szCs w:val="20"/>
              </w:rPr>
              <w:t>Version</w:t>
            </w:r>
          </w:p>
        </w:tc>
        <w:tc>
          <w:tcPr>
            <w:tcW w:w="1900" w:type="dxa"/>
            <w:tcBorders>
              <w:top w:val="single" w:sz="12" w:space="0" w:color="000000"/>
              <w:left w:val="nil"/>
              <w:bottom w:val="single" w:sz="6" w:space="0" w:color="000000"/>
              <w:right w:val="nil"/>
            </w:tcBorders>
          </w:tcPr>
          <w:p w14:paraId="63CB6914" w14:textId="77777777" w:rsidR="002978DF" w:rsidRDefault="002F2A83">
            <w:pPr>
              <w:spacing w:before="20" w:after="60" w:line="252" w:lineRule="auto"/>
              <w:ind w:left="115" w:right="60"/>
              <w:rPr>
                <w:sz w:val="20"/>
                <w:szCs w:val="20"/>
              </w:rPr>
            </w:pPr>
            <w:r>
              <w:rPr>
                <w:b/>
                <w:sz w:val="20"/>
                <w:szCs w:val="20"/>
              </w:rPr>
              <w:t>Date</w:t>
            </w:r>
          </w:p>
        </w:tc>
        <w:tc>
          <w:tcPr>
            <w:tcW w:w="4738" w:type="dxa"/>
            <w:tcBorders>
              <w:top w:val="single" w:sz="12" w:space="0" w:color="000000"/>
              <w:left w:val="nil"/>
              <w:bottom w:val="single" w:sz="6" w:space="0" w:color="000000"/>
              <w:right w:val="nil"/>
            </w:tcBorders>
          </w:tcPr>
          <w:p w14:paraId="0D8B01A1" w14:textId="77777777" w:rsidR="002978DF" w:rsidRDefault="002F2A83">
            <w:pPr>
              <w:spacing w:before="20" w:after="60" w:line="252" w:lineRule="auto"/>
              <w:ind w:left="115" w:right="60"/>
              <w:rPr>
                <w:sz w:val="20"/>
                <w:szCs w:val="20"/>
              </w:rPr>
            </w:pPr>
            <w:r>
              <w:rPr>
                <w:b/>
                <w:sz w:val="20"/>
                <w:szCs w:val="20"/>
              </w:rPr>
              <w:t>Summary of Change</w:t>
            </w:r>
          </w:p>
        </w:tc>
        <w:tc>
          <w:tcPr>
            <w:tcW w:w="2000" w:type="dxa"/>
            <w:tcBorders>
              <w:top w:val="single" w:sz="12" w:space="0" w:color="000000"/>
              <w:left w:val="nil"/>
              <w:bottom w:val="single" w:sz="6" w:space="0" w:color="000000"/>
              <w:right w:val="nil"/>
            </w:tcBorders>
          </w:tcPr>
          <w:p w14:paraId="28CA3D67" w14:textId="77777777" w:rsidR="002978DF" w:rsidRDefault="002F2A83">
            <w:pPr>
              <w:spacing w:before="20" w:after="60" w:line="252" w:lineRule="auto"/>
              <w:ind w:left="115" w:right="60"/>
              <w:rPr>
                <w:sz w:val="20"/>
                <w:szCs w:val="20"/>
              </w:rPr>
            </w:pPr>
            <w:r>
              <w:rPr>
                <w:b/>
                <w:sz w:val="20"/>
                <w:szCs w:val="20"/>
              </w:rPr>
              <w:t>Prepared by</w:t>
            </w:r>
          </w:p>
        </w:tc>
      </w:tr>
      <w:tr w:rsidR="002978DF" w14:paraId="74B4D419" w14:textId="77777777">
        <w:trPr>
          <w:cantSplit/>
        </w:trPr>
        <w:tc>
          <w:tcPr>
            <w:tcW w:w="1200" w:type="dxa"/>
            <w:tcBorders>
              <w:top w:val="nil"/>
              <w:left w:val="nil"/>
              <w:bottom w:val="single" w:sz="4" w:space="0" w:color="A6A6A6"/>
              <w:right w:val="nil"/>
            </w:tcBorders>
          </w:tcPr>
          <w:p w14:paraId="7FAD03A7" w14:textId="77777777" w:rsidR="002978DF" w:rsidRDefault="002F2A83">
            <w:pPr>
              <w:spacing w:before="20" w:after="60" w:line="252" w:lineRule="auto"/>
              <w:ind w:left="115" w:right="60"/>
              <w:rPr>
                <w:sz w:val="20"/>
                <w:szCs w:val="20"/>
              </w:rPr>
            </w:pPr>
            <w:r>
              <w:rPr>
                <w:sz w:val="20"/>
                <w:szCs w:val="20"/>
              </w:rPr>
              <w:t>1.0</w:t>
            </w:r>
          </w:p>
        </w:tc>
        <w:tc>
          <w:tcPr>
            <w:tcW w:w="1900" w:type="dxa"/>
            <w:tcBorders>
              <w:top w:val="nil"/>
              <w:left w:val="nil"/>
              <w:bottom w:val="single" w:sz="4" w:space="0" w:color="A6A6A6"/>
              <w:right w:val="nil"/>
            </w:tcBorders>
          </w:tcPr>
          <w:p w14:paraId="2B722A29" w14:textId="77777777" w:rsidR="002978DF" w:rsidRDefault="002F2A83">
            <w:pPr>
              <w:spacing w:before="20" w:after="60" w:line="252" w:lineRule="auto"/>
              <w:ind w:left="115" w:right="60"/>
              <w:rPr>
                <w:sz w:val="20"/>
                <w:szCs w:val="20"/>
              </w:rPr>
            </w:pPr>
            <w:r>
              <w:rPr>
                <w:sz w:val="20"/>
                <w:szCs w:val="20"/>
              </w:rPr>
              <w:t>August 10, 2026</w:t>
            </w:r>
          </w:p>
        </w:tc>
        <w:tc>
          <w:tcPr>
            <w:tcW w:w="4738" w:type="dxa"/>
            <w:tcBorders>
              <w:top w:val="nil"/>
              <w:left w:val="nil"/>
              <w:bottom w:val="single" w:sz="4" w:space="0" w:color="A6A6A6"/>
              <w:right w:val="nil"/>
            </w:tcBorders>
          </w:tcPr>
          <w:p w14:paraId="55C8308C" w14:textId="6175E2C5" w:rsidR="002978DF" w:rsidRDefault="002F2A83">
            <w:pPr>
              <w:spacing w:before="20" w:after="60" w:line="252" w:lineRule="auto"/>
              <w:ind w:left="115" w:right="60"/>
              <w:rPr>
                <w:sz w:val="20"/>
                <w:szCs w:val="20"/>
              </w:rPr>
            </w:pPr>
            <w:r>
              <w:rPr>
                <w:sz w:val="20"/>
                <w:szCs w:val="20"/>
              </w:rPr>
              <w:t>Initial release</w:t>
            </w:r>
          </w:p>
        </w:tc>
        <w:tc>
          <w:tcPr>
            <w:tcW w:w="2000" w:type="dxa"/>
            <w:tcBorders>
              <w:top w:val="nil"/>
              <w:left w:val="nil"/>
              <w:bottom w:val="single" w:sz="4" w:space="0" w:color="A6A6A6"/>
              <w:right w:val="nil"/>
            </w:tcBorders>
          </w:tcPr>
          <w:p w14:paraId="7BFB59E6" w14:textId="6CBEFC87" w:rsidR="002978DF" w:rsidRDefault="00603968">
            <w:pPr>
              <w:spacing w:before="20" w:after="60" w:line="252" w:lineRule="auto"/>
              <w:ind w:left="115" w:right="60"/>
              <w:rPr>
                <w:sz w:val="20"/>
                <w:szCs w:val="20"/>
              </w:rPr>
            </w:pPr>
            <w:r>
              <w:rPr>
                <w:i/>
                <w:sz w:val="20"/>
                <w:szCs w:val="20"/>
              </w:rPr>
              <w:t>Brett Schnitzius</w:t>
            </w:r>
          </w:p>
        </w:tc>
      </w:tr>
      <w:tr w:rsidR="002978DF" w14:paraId="5E0AC115" w14:textId="77777777">
        <w:trPr>
          <w:cantSplit/>
        </w:trPr>
        <w:tc>
          <w:tcPr>
            <w:tcW w:w="1200" w:type="dxa"/>
            <w:tcBorders>
              <w:top w:val="nil"/>
              <w:left w:val="nil"/>
              <w:bottom w:val="single" w:sz="4" w:space="0" w:color="A6A6A6"/>
              <w:right w:val="nil"/>
            </w:tcBorders>
          </w:tcPr>
          <w:p w14:paraId="5839B38C" w14:textId="77777777" w:rsidR="002978DF" w:rsidRDefault="002F2A83">
            <w:pPr>
              <w:spacing w:before="20" w:after="60" w:line="252" w:lineRule="auto"/>
              <w:ind w:left="115" w:right="60"/>
              <w:rPr>
                <w:sz w:val="20"/>
                <w:szCs w:val="20"/>
              </w:rPr>
            </w:pPr>
            <w:r>
              <w:rPr>
                <w:sz w:val="20"/>
                <w:szCs w:val="20"/>
              </w:rPr>
              <w:t xml:space="preserve"> </w:t>
            </w:r>
          </w:p>
        </w:tc>
        <w:tc>
          <w:tcPr>
            <w:tcW w:w="1900" w:type="dxa"/>
            <w:tcBorders>
              <w:top w:val="nil"/>
              <w:left w:val="nil"/>
              <w:bottom w:val="single" w:sz="4" w:space="0" w:color="A6A6A6"/>
              <w:right w:val="nil"/>
            </w:tcBorders>
          </w:tcPr>
          <w:p w14:paraId="38A9F46D" w14:textId="77777777" w:rsidR="002978DF" w:rsidRDefault="002F2A83">
            <w:pPr>
              <w:spacing w:before="20" w:after="60" w:line="252" w:lineRule="auto"/>
              <w:ind w:left="115" w:right="60"/>
              <w:rPr>
                <w:sz w:val="20"/>
                <w:szCs w:val="20"/>
              </w:rPr>
            </w:pPr>
            <w:r>
              <w:rPr>
                <w:sz w:val="20"/>
                <w:szCs w:val="20"/>
              </w:rPr>
              <w:t xml:space="preserve"> </w:t>
            </w:r>
          </w:p>
        </w:tc>
        <w:tc>
          <w:tcPr>
            <w:tcW w:w="4738" w:type="dxa"/>
            <w:tcBorders>
              <w:top w:val="nil"/>
              <w:left w:val="nil"/>
              <w:bottom w:val="single" w:sz="4" w:space="0" w:color="A6A6A6"/>
              <w:right w:val="nil"/>
            </w:tcBorders>
          </w:tcPr>
          <w:p w14:paraId="6B12C905" w14:textId="77777777" w:rsidR="002978DF" w:rsidRDefault="002F2A83">
            <w:pPr>
              <w:spacing w:before="20" w:after="60" w:line="252" w:lineRule="auto"/>
              <w:ind w:left="115" w:right="60"/>
              <w:rPr>
                <w:sz w:val="20"/>
                <w:szCs w:val="20"/>
              </w:rPr>
            </w:pPr>
            <w:r>
              <w:rPr>
                <w:sz w:val="20"/>
                <w:szCs w:val="20"/>
              </w:rPr>
              <w:t xml:space="preserve"> </w:t>
            </w:r>
          </w:p>
        </w:tc>
        <w:tc>
          <w:tcPr>
            <w:tcW w:w="2000" w:type="dxa"/>
            <w:tcBorders>
              <w:top w:val="nil"/>
              <w:left w:val="nil"/>
              <w:bottom w:val="single" w:sz="4" w:space="0" w:color="A6A6A6"/>
              <w:right w:val="nil"/>
            </w:tcBorders>
          </w:tcPr>
          <w:p w14:paraId="4AB6B356" w14:textId="77777777" w:rsidR="002978DF" w:rsidRDefault="002F2A83">
            <w:pPr>
              <w:spacing w:before="20" w:after="60" w:line="252" w:lineRule="auto"/>
              <w:ind w:left="115" w:right="60"/>
              <w:rPr>
                <w:sz w:val="20"/>
                <w:szCs w:val="20"/>
              </w:rPr>
            </w:pPr>
            <w:r>
              <w:rPr>
                <w:sz w:val="20"/>
                <w:szCs w:val="20"/>
              </w:rPr>
              <w:t xml:space="preserve"> </w:t>
            </w:r>
          </w:p>
        </w:tc>
      </w:tr>
      <w:tr w:rsidR="002978DF" w14:paraId="209E7431" w14:textId="77777777">
        <w:trPr>
          <w:cantSplit/>
        </w:trPr>
        <w:tc>
          <w:tcPr>
            <w:tcW w:w="1200" w:type="dxa"/>
            <w:tcBorders>
              <w:top w:val="nil"/>
              <w:left w:val="nil"/>
              <w:bottom w:val="single" w:sz="12" w:space="0" w:color="000000"/>
              <w:right w:val="nil"/>
            </w:tcBorders>
          </w:tcPr>
          <w:p w14:paraId="5D9E3079" w14:textId="77777777" w:rsidR="002978DF" w:rsidRDefault="002F2A83">
            <w:pPr>
              <w:spacing w:before="20" w:after="60" w:line="252" w:lineRule="auto"/>
              <w:ind w:left="115" w:right="60"/>
              <w:rPr>
                <w:sz w:val="20"/>
                <w:szCs w:val="20"/>
              </w:rPr>
            </w:pPr>
            <w:r>
              <w:rPr>
                <w:sz w:val="20"/>
                <w:szCs w:val="20"/>
              </w:rPr>
              <w:t xml:space="preserve"> </w:t>
            </w:r>
          </w:p>
        </w:tc>
        <w:tc>
          <w:tcPr>
            <w:tcW w:w="1900" w:type="dxa"/>
            <w:tcBorders>
              <w:top w:val="nil"/>
              <w:left w:val="nil"/>
              <w:bottom w:val="single" w:sz="12" w:space="0" w:color="000000"/>
              <w:right w:val="nil"/>
            </w:tcBorders>
          </w:tcPr>
          <w:p w14:paraId="18B676BD" w14:textId="77777777" w:rsidR="002978DF" w:rsidRDefault="002F2A83">
            <w:pPr>
              <w:spacing w:before="20" w:after="60" w:line="252" w:lineRule="auto"/>
              <w:ind w:left="115" w:right="60"/>
              <w:rPr>
                <w:sz w:val="20"/>
                <w:szCs w:val="20"/>
              </w:rPr>
            </w:pPr>
            <w:r>
              <w:rPr>
                <w:sz w:val="20"/>
                <w:szCs w:val="20"/>
              </w:rPr>
              <w:t xml:space="preserve"> </w:t>
            </w:r>
          </w:p>
        </w:tc>
        <w:tc>
          <w:tcPr>
            <w:tcW w:w="4738" w:type="dxa"/>
            <w:tcBorders>
              <w:top w:val="nil"/>
              <w:left w:val="nil"/>
              <w:bottom w:val="single" w:sz="12" w:space="0" w:color="000000"/>
              <w:right w:val="nil"/>
            </w:tcBorders>
          </w:tcPr>
          <w:p w14:paraId="2AF5EFE7" w14:textId="77777777" w:rsidR="002978DF" w:rsidRDefault="002F2A83">
            <w:pPr>
              <w:spacing w:before="20" w:after="60" w:line="252" w:lineRule="auto"/>
              <w:ind w:left="115" w:right="60"/>
              <w:rPr>
                <w:sz w:val="20"/>
                <w:szCs w:val="20"/>
              </w:rPr>
            </w:pPr>
            <w:r>
              <w:rPr>
                <w:sz w:val="20"/>
                <w:szCs w:val="20"/>
              </w:rPr>
              <w:t xml:space="preserve"> </w:t>
            </w:r>
          </w:p>
        </w:tc>
        <w:tc>
          <w:tcPr>
            <w:tcW w:w="2000" w:type="dxa"/>
            <w:tcBorders>
              <w:top w:val="nil"/>
              <w:left w:val="nil"/>
              <w:bottom w:val="single" w:sz="12" w:space="0" w:color="000000"/>
              <w:right w:val="nil"/>
            </w:tcBorders>
          </w:tcPr>
          <w:p w14:paraId="38013015" w14:textId="77777777" w:rsidR="002978DF" w:rsidRDefault="002F2A83">
            <w:pPr>
              <w:spacing w:before="20" w:after="60" w:line="252" w:lineRule="auto"/>
              <w:ind w:left="115" w:right="60"/>
              <w:rPr>
                <w:sz w:val="20"/>
                <w:szCs w:val="20"/>
              </w:rPr>
            </w:pPr>
            <w:r>
              <w:rPr>
                <w:sz w:val="20"/>
                <w:szCs w:val="20"/>
              </w:rPr>
              <w:t xml:space="preserve"> </w:t>
            </w:r>
          </w:p>
        </w:tc>
      </w:tr>
    </w:tbl>
    <w:p w14:paraId="79DC381D" w14:textId="77777777" w:rsidR="002978DF" w:rsidRDefault="002978DF">
      <w:pPr>
        <w:rPr>
          <w:sz w:val="2"/>
        </w:rPr>
        <w:sectPr w:rsidR="002978DF">
          <w:footerReference w:type="default" r:id="rId8"/>
          <w:pgSz w:w="12240" w:h="15840"/>
          <w:pgMar w:top="1360" w:right="1080" w:bottom="1000" w:left="1080" w:header="720" w:footer="720" w:gutter="0"/>
          <w:cols w:space="720"/>
        </w:sectPr>
      </w:pPr>
    </w:p>
    <w:p w14:paraId="1061B935" w14:textId="77777777" w:rsidR="002F2A83" w:rsidRDefault="002F2A83"/>
    <w:sectPr w:rsidR="002F2A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7284E" w14:textId="77777777" w:rsidR="00425CA5" w:rsidRDefault="00425CA5">
      <w:r>
        <w:separator/>
      </w:r>
    </w:p>
  </w:endnote>
  <w:endnote w:type="continuationSeparator" w:id="0">
    <w:p w14:paraId="2B0B7E8C" w14:textId="77777777" w:rsidR="00425CA5" w:rsidRDefault="00425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A790D" w14:textId="56D7B76B" w:rsidR="002978DF" w:rsidRDefault="002978DF">
    <w:pPr>
      <w:pBdr>
        <w:top w:val="single" w:sz="4" w:space="4" w:color="A6A6A6"/>
      </w:pBdr>
      <w:tabs>
        <w:tab w:val="right" w:pos="10080"/>
      </w:tabs>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AA73" w14:textId="77777777" w:rsidR="00425CA5" w:rsidRDefault="00425CA5">
      <w:r>
        <w:separator/>
      </w:r>
    </w:p>
  </w:footnote>
  <w:footnote w:type="continuationSeparator" w:id="0">
    <w:p w14:paraId="27DB2E6B" w14:textId="77777777" w:rsidR="00425CA5" w:rsidRDefault="00425C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4614FE"/>
    <w:multiLevelType w:val="hybridMultilevel"/>
    <w:tmpl w:val="82962A62"/>
    <w:lvl w:ilvl="0" w:tplc="7BDC30DE">
      <w:numFmt w:val="bullet"/>
      <w:lvlText w:val=""/>
      <w:lvlJc w:val="left"/>
      <w:pPr>
        <w:ind w:left="721" w:hanging="361"/>
      </w:pPr>
      <w:rPr>
        <w:rFonts w:ascii="Symbol" w:eastAsia="Symbol" w:hAnsi="Symbol" w:cs="Symbol" w:hint="default"/>
        <w:b w:val="0"/>
        <w:bCs w:val="0"/>
        <w:i w:val="0"/>
        <w:iCs w:val="0"/>
        <w:spacing w:val="0"/>
        <w:w w:val="100"/>
        <w:sz w:val="20"/>
        <w:szCs w:val="20"/>
        <w:lang w:val="en-US" w:eastAsia="en-US" w:bidi="ar-SA"/>
      </w:rPr>
    </w:lvl>
    <w:lvl w:ilvl="1" w:tplc="1558126C">
      <w:numFmt w:val="bullet"/>
      <w:lvlText w:val="•"/>
      <w:lvlJc w:val="left"/>
      <w:pPr>
        <w:ind w:left="1656" w:hanging="361"/>
      </w:pPr>
      <w:rPr>
        <w:rFonts w:hint="default"/>
        <w:lang w:val="en-US" w:eastAsia="en-US" w:bidi="ar-SA"/>
      </w:rPr>
    </w:lvl>
    <w:lvl w:ilvl="2" w:tplc="010EF672">
      <w:numFmt w:val="bullet"/>
      <w:lvlText w:val="•"/>
      <w:lvlJc w:val="left"/>
      <w:pPr>
        <w:ind w:left="2592" w:hanging="361"/>
      </w:pPr>
      <w:rPr>
        <w:rFonts w:hint="default"/>
        <w:lang w:val="en-US" w:eastAsia="en-US" w:bidi="ar-SA"/>
      </w:rPr>
    </w:lvl>
    <w:lvl w:ilvl="3" w:tplc="0096D2A0">
      <w:numFmt w:val="bullet"/>
      <w:lvlText w:val="•"/>
      <w:lvlJc w:val="left"/>
      <w:pPr>
        <w:ind w:left="3528" w:hanging="361"/>
      </w:pPr>
      <w:rPr>
        <w:rFonts w:hint="default"/>
        <w:lang w:val="en-US" w:eastAsia="en-US" w:bidi="ar-SA"/>
      </w:rPr>
    </w:lvl>
    <w:lvl w:ilvl="4" w:tplc="D45AFBD2">
      <w:numFmt w:val="bullet"/>
      <w:lvlText w:val="•"/>
      <w:lvlJc w:val="left"/>
      <w:pPr>
        <w:ind w:left="4464" w:hanging="361"/>
      </w:pPr>
      <w:rPr>
        <w:rFonts w:hint="default"/>
        <w:lang w:val="en-US" w:eastAsia="en-US" w:bidi="ar-SA"/>
      </w:rPr>
    </w:lvl>
    <w:lvl w:ilvl="5" w:tplc="49825D9C">
      <w:numFmt w:val="bullet"/>
      <w:lvlText w:val="•"/>
      <w:lvlJc w:val="left"/>
      <w:pPr>
        <w:ind w:left="5400" w:hanging="361"/>
      </w:pPr>
      <w:rPr>
        <w:rFonts w:hint="default"/>
        <w:lang w:val="en-US" w:eastAsia="en-US" w:bidi="ar-SA"/>
      </w:rPr>
    </w:lvl>
    <w:lvl w:ilvl="6" w:tplc="9D926694">
      <w:numFmt w:val="bullet"/>
      <w:lvlText w:val="•"/>
      <w:lvlJc w:val="left"/>
      <w:pPr>
        <w:ind w:left="6336" w:hanging="361"/>
      </w:pPr>
      <w:rPr>
        <w:rFonts w:hint="default"/>
        <w:lang w:val="en-US" w:eastAsia="en-US" w:bidi="ar-SA"/>
      </w:rPr>
    </w:lvl>
    <w:lvl w:ilvl="7" w:tplc="C0E807F2">
      <w:numFmt w:val="bullet"/>
      <w:lvlText w:val="•"/>
      <w:lvlJc w:val="left"/>
      <w:pPr>
        <w:ind w:left="7272" w:hanging="361"/>
      </w:pPr>
      <w:rPr>
        <w:rFonts w:hint="default"/>
        <w:lang w:val="en-US" w:eastAsia="en-US" w:bidi="ar-SA"/>
      </w:rPr>
    </w:lvl>
    <w:lvl w:ilvl="8" w:tplc="1FBE31CE">
      <w:numFmt w:val="bullet"/>
      <w:lvlText w:val="•"/>
      <w:lvlJc w:val="left"/>
      <w:pPr>
        <w:ind w:left="8208" w:hanging="361"/>
      </w:pPr>
      <w:rPr>
        <w:rFonts w:hint="default"/>
        <w:lang w:val="en-US" w:eastAsia="en-US" w:bidi="ar-SA"/>
      </w:rPr>
    </w:lvl>
  </w:abstractNum>
  <w:num w:numId="1" w16cid:durableId="1917203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B4A"/>
    <w:rsid w:val="002978DF"/>
    <w:rsid w:val="002F2A83"/>
    <w:rsid w:val="003D155C"/>
    <w:rsid w:val="00425CA5"/>
    <w:rsid w:val="005E591D"/>
    <w:rsid w:val="00603968"/>
    <w:rsid w:val="00624BA3"/>
    <w:rsid w:val="00662B4A"/>
    <w:rsid w:val="0082304D"/>
    <w:rsid w:val="008A5C51"/>
    <w:rsid w:val="00CF2C37"/>
    <w:rsid w:val="00D624E3"/>
    <w:rsid w:val="00DF0079"/>
    <w:rsid w:val="00E51A37"/>
    <w:rsid w:val="00F97304"/>
    <w:rsid w:val="24B82FC5"/>
    <w:rsid w:val="26CC733F"/>
    <w:rsid w:val="4AB052E7"/>
    <w:rsid w:val="50478BB4"/>
    <w:rsid w:val="52AABC04"/>
    <w:rsid w:val="58670AC5"/>
    <w:rsid w:val="75B93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105B"/>
  <w15:docId w15:val="{88B7DADF-18CA-4DCB-873C-F80E1AA8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83"/>
      <w:ind w:left="721"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97304"/>
    <w:pPr>
      <w:tabs>
        <w:tab w:val="center" w:pos="4680"/>
        <w:tab w:val="right" w:pos="9360"/>
      </w:tabs>
    </w:pPr>
  </w:style>
  <w:style w:type="character" w:customStyle="1" w:styleId="HeaderChar">
    <w:name w:val="Header Char"/>
    <w:basedOn w:val="DefaultParagraphFont"/>
    <w:link w:val="Header"/>
    <w:uiPriority w:val="99"/>
    <w:rsid w:val="00F97304"/>
    <w:rPr>
      <w:rFonts w:ascii="Tahoma" w:eastAsia="Tahoma" w:hAnsi="Tahoma" w:cs="Tahoma"/>
    </w:rPr>
  </w:style>
  <w:style w:type="paragraph" w:styleId="Footer">
    <w:name w:val="footer"/>
    <w:basedOn w:val="Normal"/>
    <w:link w:val="FooterChar"/>
    <w:uiPriority w:val="99"/>
    <w:unhideWhenUsed/>
    <w:rsid w:val="00F97304"/>
    <w:pPr>
      <w:tabs>
        <w:tab w:val="center" w:pos="4680"/>
        <w:tab w:val="right" w:pos="9360"/>
      </w:tabs>
    </w:pPr>
  </w:style>
  <w:style w:type="character" w:customStyle="1" w:styleId="FooterChar">
    <w:name w:val="Footer Char"/>
    <w:basedOn w:val="DefaultParagraphFont"/>
    <w:link w:val="Footer"/>
    <w:uiPriority w:val="99"/>
    <w:rsid w:val="00F97304"/>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1180</Words>
  <Characters>6728</Characters>
  <Application>Microsoft Office Word</Application>
  <DocSecurity>0</DocSecurity>
  <Lines>56</Lines>
  <Paragraphs>15</Paragraphs>
  <ScaleCrop>false</ScaleCrop>
  <Company>PODS Enterprises, LLC</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Pets in the Workplace Policy</dc:title>
  <dc:creator>Steve Hakin</dc:creator>
  <cp:lastModifiedBy>Brett Schnitzius</cp:lastModifiedBy>
  <cp:revision>2</cp:revision>
  <dcterms:created xsi:type="dcterms:W3CDTF">2026-08-07T19:36:00Z</dcterms:created>
  <dcterms:modified xsi:type="dcterms:W3CDTF">2026-08-07T19:36:00Z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2024-06-05T00:00:00Z</vt:filetime>
  </property>
  <property fmtid="{D5CDD505-2E9C-101B-9397-08002B2CF9AE}" pid="3" name="Creator">
    <vt:lpwstr>Microsoft Word</vt:lpwstr>
  </property>
  <property fmtid="{D5CDD505-2E9C-101B-9397-08002B2CF9AE}" pid="4" name="LastSaved">
    <vt:filetime>2026-05-11T00:00:00Z</vt:filetime>
  </property>
</Properties>
</file>