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7BEA0" w14:textId="77777777" w:rsidR="00662B4A" w:rsidRDefault="008A5C51">
      <w:pPr>
        <w:ind w:left="270"/>
        <w:rPr>
          <w:rFonts w:ascii="Times New Roman"/>
          <w:sz w:val="20"/>
        </w:rPr>
      </w:pPr>
      <w:bookmarkStart w:id="0" w:name="Eligibility"/>
      <w:bookmarkStart w:id="1" w:name="Policy/Procedure"/>
      <w:bookmarkEnd w:id="0"/>
      <w:bookmarkEnd w:id="1"/>
      <w:r>
        <w:rPr>
          <w:rFonts w:ascii="Times New Roman"/>
          <w:noProof/>
          <w:sz w:val="20"/>
        </w:rPr>
        <w:drawing>
          <wp:inline distT="0" distB="0" distL="0" distR="0" wp14:anchorId="0535AD7E" wp14:editId="0535AD7F">
            <wp:extent cx="1761741" cy="438054"/>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1761741" cy="438054"/>
                    </a:xfrm>
                    <a:prstGeom prst="rect">
                      <a:avLst/>
                    </a:prstGeom>
                  </pic:spPr>
                </pic:pic>
              </a:graphicData>
            </a:graphic>
          </wp:inline>
        </w:drawing>
      </w:r>
    </w:p>
    <w:p w14:paraId="7AC8FA08" w14:textId="77777777" w:rsidR="004A0E6B" w:rsidRDefault="004A0E6B">
      <w:pPr>
        <w:spacing w:after="60" w:line="252" w:lineRule="auto"/>
        <w:ind w:left="240"/>
        <w:rPr>
          <w:sz w:val="20"/>
          <w:szCs w:val="20"/>
        </w:rPr>
      </w:pPr>
    </w:p>
    <w:tbl>
      <w:tblPr>
        <w:tblW w:w="9838" w:type="dxa"/>
        <w:tblInd w:w="123" w:type="dxa"/>
        <w:tblLayout w:type="fixed"/>
        <w:tblCellMar>
          <w:top w:w="60" w:type="dxa"/>
          <w:left w:w="0" w:type="dxa"/>
          <w:bottom w:w="60" w:type="dxa"/>
          <w:right w:w="150" w:type="dxa"/>
        </w:tblCellMar>
        <w:tblLook w:val="00A0" w:firstRow="1" w:lastRow="0" w:firstColumn="1" w:lastColumn="0" w:noHBand="0" w:noVBand="0"/>
      </w:tblPr>
      <w:tblGrid>
        <w:gridCol w:w="1789"/>
        <w:gridCol w:w="5173"/>
        <w:gridCol w:w="2876"/>
      </w:tblGrid>
      <w:tr w:rsidR="004A0E6B" w14:paraId="64934BF3" w14:textId="77777777" w:rsidTr="39633FC2">
        <w:trPr>
          <w:gridAfter w:val="1"/>
          <w:wAfter w:w="4052" w:type="dxa"/>
          <w:cantSplit/>
        </w:trPr>
        <w:tc>
          <w:tcPr>
            <w:tcW w:w="2492" w:type="dxa"/>
            <w:tcBorders>
              <w:top w:val="single" w:sz="12" w:space="0" w:color="000000" w:themeColor="text1"/>
              <w:left w:val="nil"/>
              <w:bottom w:val="nil"/>
              <w:right w:val="nil"/>
            </w:tcBorders>
          </w:tcPr>
          <w:p w14:paraId="0B2CF30E" w14:textId="16543E34" w:rsidR="004A0E6B" w:rsidRDefault="004A0E6B">
            <w:pPr>
              <w:spacing w:before="20" w:after="60" w:line="252" w:lineRule="auto"/>
              <w:ind w:left="115" w:right="60"/>
              <w:rPr>
                <w:sz w:val="20"/>
                <w:szCs w:val="20"/>
              </w:rPr>
            </w:pPr>
          </w:p>
        </w:tc>
        <w:tc>
          <w:tcPr>
            <w:tcW w:w="7346" w:type="dxa"/>
            <w:tcBorders>
              <w:top w:val="single" w:sz="12" w:space="0" w:color="000000" w:themeColor="text1"/>
              <w:left w:val="nil"/>
              <w:bottom w:val="nil"/>
              <w:right w:val="nil"/>
            </w:tcBorders>
          </w:tcPr>
          <w:p w14:paraId="56751429" w14:textId="77777777" w:rsidR="004A0E6B" w:rsidRDefault="00B82D61">
            <w:pPr>
              <w:spacing w:before="40" w:after="60" w:line="252" w:lineRule="auto"/>
              <w:ind w:left="115" w:right="60"/>
              <w:rPr>
                <w:sz w:val="20"/>
                <w:szCs w:val="20"/>
              </w:rPr>
            </w:pPr>
            <w:r>
              <w:rPr>
                <w:b/>
                <w:sz w:val="20"/>
                <w:szCs w:val="20"/>
              </w:rPr>
              <w:t xml:space="preserve">Fuel Program </w:t>
            </w:r>
            <w:r>
              <w:rPr>
                <w:sz w:val="20"/>
                <w:szCs w:val="20"/>
              </w:rPr>
              <w:t>(Standard Operating Procedure)</w:t>
            </w:r>
          </w:p>
        </w:tc>
      </w:tr>
      <w:tr w:rsidR="004A0E6B" w14:paraId="3FCEF237" w14:textId="77777777" w:rsidTr="39633FC2">
        <w:trPr>
          <w:gridAfter w:val="1"/>
          <w:wAfter w:w="4052" w:type="dxa"/>
          <w:cantSplit/>
        </w:trPr>
        <w:tc>
          <w:tcPr>
            <w:tcW w:w="2492" w:type="dxa"/>
            <w:tcBorders>
              <w:top w:val="single" w:sz="4" w:space="0" w:color="A6A6A6" w:themeColor="background1" w:themeShade="A6"/>
              <w:left w:val="nil"/>
              <w:bottom w:val="nil"/>
              <w:right w:val="nil"/>
            </w:tcBorders>
          </w:tcPr>
          <w:p w14:paraId="01D58811" w14:textId="38E30DBC" w:rsidR="004A0E6B" w:rsidRDefault="00B82D61">
            <w:pPr>
              <w:spacing w:before="20" w:after="60" w:line="252" w:lineRule="auto"/>
              <w:ind w:left="115" w:right="60"/>
              <w:rPr>
                <w:sz w:val="20"/>
                <w:szCs w:val="20"/>
              </w:rPr>
            </w:pPr>
            <w:r>
              <w:rPr>
                <w:b/>
                <w:sz w:val="20"/>
                <w:szCs w:val="20"/>
              </w:rPr>
              <w:t>Applies to:</w:t>
            </w:r>
          </w:p>
        </w:tc>
        <w:tc>
          <w:tcPr>
            <w:tcW w:w="7346" w:type="dxa"/>
            <w:tcBorders>
              <w:top w:val="single" w:sz="4" w:space="0" w:color="A6A6A6" w:themeColor="background1" w:themeShade="A6"/>
              <w:left w:val="nil"/>
              <w:bottom w:val="nil"/>
              <w:right w:val="nil"/>
            </w:tcBorders>
          </w:tcPr>
          <w:p w14:paraId="77D19F08" w14:textId="77777777" w:rsidR="004A0E6B" w:rsidRDefault="00B82D61">
            <w:pPr>
              <w:spacing w:before="40" w:after="60" w:line="252" w:lineRule="auto"/>
              <w:ind w:left="115" w:right="60"/>
              <w:rPr>
                <w:sz w:val="20"/>
                <w:szCs w:val="20"/>
              </w:rPr>
            </w:pPr>
            <w:r>
              <w:rPr>
                <w:sz w:val="20"/>
                <w:szCs w:val="20"/>
              </w:rPr>
              <w:t>All employees who operate or fuel PODS trucks and forklifts, and the Market Managers who supervise them, in all markets</w:t>
            </w:r>
          </w:p>
        </w:tc>
      </w:tr>
      <w:tr w:rsidR="004A0E6B" w14:paraId="6070FCE3" w14:textId="77777777" w:rsidTr="39633FC2">
        <w:trPr>
          <w:cantSplit/>
        </w:trPr>
        <w:tc>
          <w:tcPr>
            <w:tcW w:w="2492" w:type="dxa"/>
            <w:tcBorders>
              <w:top w:val="single" w:sz="12" w:space="0" w:color="000000" w:themeColor="text1"/>
              <w:left w:val="nil"/>
              <w:bottom w:val="single" w:sz="12" w:space="0" w:color="000000" w:themeColor="text1"/>
              <w:right w:val="nil"/>
            </w:tcBorders>
          </w:tcPr>
          <w:p w14:paraId="012EFF93" w14:textId="77777777" w:rsidR="004A0E6B" w:rsidRDefault="00B82D61">
            <w:pPr>
              <w:spacing w:before="40" w:after="20" w:line="252" w:lineRule="auto"/>
              <w:ind w:left="115" w:right="60"/>
              <w:rPr>
                <w:sz w:val="20"/>
                <w:szCs w:val="20"/>
              </w:rPr>
            </w:pPr>
            <w:r>
              <w:rPr>
                <w:b/>
                <w:sz w:val="20"/>
                <w:szCs w:val="20"/>
              </w:rPr>
              <w:t>Prepared by</w:t>
            </w:r>
          </w:p>
          <w:p w14:paraId="030F6AD8" w14:textId="1CA4FB70" w:rsidR="004A0E6B" w:rsidRDefault="09A6ED2B">
            <w:pPr>
              <w:spacing w:after="60" w:line="252" w:lineRule="auto"/>
              <w:ind w:left="115" w:right="60"/>
            </w:pPr>
            <w:r w:rsidRPr="39633FC2">
              <w:rPr>
                <w:i/>
                <w:iCs/>
                <w:sz w:val="20"/>
                <w:szCs w:val="20"/>
              </w:rPr>
              <w:t>Field Operations</w:t>
            </w:r>
          </w:p>
        </w:tc>
        <w:tc>
          <w:tcPr>
            <w:tcW w:w="3294" w:type="dxa"/>
            <w:tcBorders>
              <w:top w:val="single" w:sz="12" w:space="0" w:color="000000" w:themeColor="text1"/>
              <w:left w:val="nil"/>
              <w:bottom w:val="single" w:sz="12" w:space="0" w:color="000000" w:themeColor="text1"/>
              <w:right w:val="nil"/>
            </w:tcBorders>
          </w:tcPr>
          <w:p w14:paraId="01829C0B" w14:textId="77777777" w:rsidR="004A0E6B" w:rsidRDefault="00B82D61">
            <w:pPr>
              <w:spacing w:before="40" w:after="20" w:line="252" w:lineRule="auto"/>
              <w:ind w:left="115" w:right="60"/>
              <w:jc w:val="center"/>
              <w:rPr>
                <w:sz w:val="20"/>
                <w:szCs w:val="20"/>
              </w:rPr>
            </w:pPr>
            <w:r>
              <w:rPr>
                <w:b/>
                <w:sz w:val="20"/>
                <w:szCs w:val="20"/>
              </w:rPr>
              <w:t>Effective Date</w:t>
            </w:r>
          </w:p>
          <w:p w14:paraId="0AA8FA1F" w14:textId="1144FAD2" w:rsidR="004A0E6B" w:rsidRDefault="05EA022F">
            <w:pPr>
              <w:spacing w:after="60" w:line="252" w:lineRule="auto"/>
              <w:ind w:left="115" w:right="60"/>
              <w:jc w:val="center"/>
            </w:pPr>
            <w:r w:rsidRPr="39633FC2">
              <w:rPr>
                <w:i/>
                <w:iCs/>
                <w:sz w:val="20"/>
                <w:szCs w:val="20"/>
              </w:rPr>
              <w:t>8/10/2026</w:t>
            </w:r>
          </w:p>
        </w:tc>
        <w:tc>
          <w:tcPr>
            <w:tcW w:w="4052" w:type="dxa"/>
            <w:tcBorders>
              <w:top w:val="single" w:sz="12" w:space="0" w:color="000000" w:themeColor="text1"/>
              <w:left w:val="nil"/>
              <w:bottom w:val="single" w:sz="12" w:space="0" w:color="000000" w:themeColor="text1"/>
              <w:right w:val="nil"/>
            </w:tcBorders>
          </w:tcPr>
          <w:p w14:paraId="0F90313B" w14:textId="77777777" w:rsidR="004A0E6B" w:rsidRDefault="00B82D61" w:rsidP="39633FC2">
            <w:pPr>
              <w:spacing w:before="40" w:after="20" w:line="252" w:lineRule="auto"/>
              <w:ind w:right="60"/>
              <w:jc w:val="center"/>
              <w:rPr>
                <w:sz w:val="20"/>
                <w:szCs w:val="20"/>
              </w:rPr>
            </w:pPr>
            <w:r w:rsidRPr="39633FC2">
              <w:rPr>
                <w:b/>
                <w:bCs/>
                <w:sz w:val="20"/>
                <w:szCs w:val="20"/>
              </w:rPr>
              <w:t>Number of Pages</w:t>
            </w:r>
          </w:p>
          <w:p w14:paraId="29BD5BA1" w14:textId="657F5212" w:rsidR="004A0E6B" w:rsidRDefault="67C15B0D">
            <w:pPr>
              <w:spacing w:after="60" w:line="252" w:lineRule="auto"/>
              <w:ind w:left="115" w:right="60"/>
              <w:jc w:val="center"/>
            </w:pPr>
            <w:r w:rsidRPr="39633FC2">
              <w:rPr>
                <w:i/>
                <w:iCs/>
                <w:sz w:val="20"/>
                <w:szCs w:val="20"/>
              </w:rPr>
              <w:t>4</w:t>
            </w:r>
          </w:p>
        </w:tc>
      </w:tr>
    </w:tbl>
    <w:p w14:paraId="69A282A7" w14:textId="77777777" w:rsidR="004A0E6B" w:rsidRDefault="004A0E6B">
      <w:pPr>
        <w:spacing w:line="252" w:lineRule="auto"/>
        <w:ind w:left="240"/>
        <w:rPr>
          <w:sz w:val="20"/>
          <w:szCs w:val="20"/>
        </w:rPr>
      </w:pPr>
    </w:p>
    <w:p w14:paraId="1A7B39FB" w14:textId="77777777" w:rsidR="004A0E6B" w:rsidRDefault="00B82D61">
      <w:pPr>
        <w:keepNext/>
        <w:keepLines/>
        <w:spacing w:before="360" w:after="120"/>
        <w:ind w:left="240"/>
        <w:rPr>
          <w:b/>
        </w:rPr>
      </w:pPr>
      <w:r>
        <w:rPr>
          <w:b/>
          <w:spacing w:val="-2"/>
          <w:u w:val="thick"/>
        </w:rPr>
        <w:t>Purpose</w:t>
      </w:r>
    </w:p>
    <w:p w14:paraId="046C0896" w14:textId="77777777" w:rsidR="004A0E6B" w:rsidRDefault="00B82D61">
      <w:pPr>
        <w:spacing w:after="140" w:line="252" w:lineRule="auto"/>
        <w:ind w:left="240" w:right="356"/>
        <w:rPr>
          <w:sz w:val="20"/>
          <w:szCs w:val="20"/>
        </w:rPr>
      </w:pPr>
      <w:r>
        <w:rPr>
          <w:sz w:val="20"/>
          <w:szCs w:val="20"/>
        </w:rPr>
        <w:t>This Standard Operating Procedure (SOP) establishes standardized fueling procedures for all PODS trucks and forklifts to reduce fuel costs, improve accountability, strengthen internal controls, and ensure consistent compliance across all markets.</w:t>
      </w:r>
    </w:p>
    <w:p w14:paraId="3F921106" w14:textId="77777777" w:rsidR="004A0E6B" w:rsidRDefault="00B82D61">
      <w:pPr>
        <w:keepNext/>
        <w:keepLines/>
        <w:spacing w:before="360" w:after="120"/>
        <w:ind w:left="240"/>
        <w:rPr>
          <w:b/>
        </w:rPr>
      </w:pPr>
      <w:r>
        <w:rPr>
          <w:b/>
          <w:spacing w:val="-2"/>
          <w:u w:val="thick"/>
        </w:rPr>
        <w:t>Scope</w:t>
      </w:r>
    </w:p>
    <w:p w14:paraId="61A3E54D" w14:textId="1CAE7F30" w:rsidR="004A0E6B" w:rsidRDefault="00B82D61">
      <w:pPr>
        <w:spacing w:after="140" w:line="252" w:lineRule="auto"/>
        <w:ind w:left="240" w:right="356"/>
        <w:rPr>
          <w:sz w:val="20"/>
          <w:szCs w:val="20"/>
        </w:rPr>
      </w:pPr>
      <w:r>
        <w:rPr>
          <w:sz w:val="20"/>
          <w:szCs w:val="20"/>
        </w:rPr>
        <w:t>This SOP applies to</w:t>
      </w:r>
      <w:r w:rsidR="00DB676C">
        <w:rPr>
          <w:sz w:val="20"/>
          <w:szCs w:val="20"/>
        </w:rPr>
        <w:t xml:space="preserve"> all Operations Associates</w:t>
      </w:r>
    </w:p>
    <w:p w14:paraId="3BEF2BC6" w14:textId="77777777" w:rsidR="004A0E6B" w:rsidRDefault="00B82D61">
      <w:pPr>
        <w:keepNext/>
        <w:keepLines/>
        <w:spacing w:before="360" w:after="120"/>
        <w:ind w:left="240"/>
        <w:rPr>
          <w:b/>
        </w:rPr>
      </w:pPr>
      <w:r>
        <w:rPr>
          <w:b/>
          <w:spacing w:val="-2"/>
          <w:u w:val="thick"/>
        </w:rPr>
        <w:t>Procedure</w:t>
      </w:r>
    </w:p>
    <w:p w14:paraId="616F2345" w14:textId="77777777" w:rsidR="004A0E6B" w:rsidRDefault="00B82D61">
      <w:pPr>
        <w:keepNext/>
        <w:keepLines/>
        <w:spacing w:before="200" w:after="80" w:line="252" w:lineRule="auto"/>
        <w:ind w:left="240" w:right="356"/>
        <w:rPr>
          <w:sz w:val="20"/>
          <w:szCs w:val="20"/>
        </w:rPr>
      </w:pPr>
      <w:r>
        <w:rPr>
          <w:b/>
          <w:sz w:val="20"/>
          <w:szCs w:val="20"/>
        </w:rPr>
        <w:t>1</w:t>
      </w:r>
      <w:proofErr w:type="gramStart"/>
      <w:r>
        <w:rPr>
          <w:b/>
          <w:sz w:val="20"/>
          <w:szCs w:val="20"/>
        </w:rPr>
        <w:t>.  WEX</w:t>
      </w:r>
      <w:proofErr w:type="gramEnd"/>
      <w:r>
        <w:rPr>
          <w:b/>
          <w:sz w:val="20"/>
          <w:szCs w:val="20"/>
        </w:rPr>
        <w:t xml:space="preserve"> Connect App and Approved Fueling Locations</w:t>
      </w:r>
    </w:p>
    <w:p w14:paraId="7FA8EDD2" w14:textId="77777777" w:rsidR="004A0E6B" w:rsidRDefault="00B82D61">
      <w:pPr>
        <w:numPr>
          <w:ilvl w:val="0"/>
          <w:numId w:val="1"/>
        </w:numPr>
        <w:spacing w:after="80" w:line="252" w:lineRule="auto"/>
        <w:ind w:left="600" w:right="356" w:hanging="280"/>
        <w:rPr>
          <w:sz w:val="20"/>
          <w:szCs w:val="20"/>
        </w:rPr>
      </w:pPr>
      <w:r>
        <w:rPr>
          <w:b/>
          <w:sz w:val="20"/>
          <w:szCs w:val="20"/>
        </w:rPr>
        <w:t xml:space="preserve">Market Manager responsibility. </w:t>
      </w:r>
      <w:r>
        <w:rPr>
          <w:sz w:val="20"/>
          <w:szCs w:val="20"/>
        </w:rPr>
        <w:t>Every Market Manager is responsible for downloading and implementing the WEX mobile application.</w:t>
      </w:r>
    </w:p>
    <w:p w14:paraId="0EB896BD" w14:textId="77777777" w:rsidR="004A0E6B" w:rsidRDefault="00B82D61">
      <w:pPr>
        <w:numPr>
          <w:ilvl w:val="0"/>
          <w:numId w:val="1"/>
        </w:numPr>
        <w:spacing w:after="80" w:line="252" w:lineRule="auto"/>
        <w:ind w:left="600" w:right="356" w:hanging="280"/>
        <w:rPr>
          <w:sz w:val="20"/>
          <w:szCs w:val="20"/>
        </w:rPr>
      </w:pPr>
      <w:r>
        <w:rPr>
          <w:b/>
          <w:sz w:val="20"/>
          <w:szCs w:val="20"/>
        </w:rPr>
        <w:t xml:space="preserve">Approved fueling locations. </w:t>
      </w:r>
      <w:r>
        <w:rPr>
          <w:sz w:val="20"/>
          <w:szCs w:val="20"/>
        </w:rPr>
        <w:t>Each Market Manager identifies two to three approved fueling locations that consistently offer the lowest available fuel prices while remaining conveniently located near the domiciled warehouse, so that drivers have options.</w:t>
      </w:r>
    </w:p>
    <w:p w14:paraId="5A7B9777" w14:textId="77777777" w:rsidR="004A0E6B" w:rsidRDefault="00B82D61">
      <w:pPr>
        <w:numPr>
          <w:ilvl w:val="0"/>
          <w:numId w:val="1"/>
        </w:numPr>
        <w:spacing w:after="80" w:line="252" w:lineRule="auto"/>
        <w:ind w:left="600" w:right="356" w:hanging="280"/>
        <w:rPr>
          <w:sz w:val="20"/>
          <w:szCs w:val="20"/>
        </w:rPr>
      </w:pPr>
      <w:r>
        <w:rPr>
          <w:b/>
          <w:sz w:val="20"/>
          <w:szCs w:val="20"/>
        </w:rPr>
        <w:t xml:space="preserve">Location management. </w:t>
      </w:r>
      <w:r>
        <w:rPr>
          <w:sz w:val="20"/>
          <w:szCs w:val="20"/>
        </w:rPr>
        <w:t>Approved fueling locations are reviewed periodically and updated as pricing or operational needs change.</w:t>
      </w:r>
    </w:p>
    <w:p w14:paraId="526EA305" w14:textId="77777777" w:rsidR="004A0E6B" w:rsidRDefault="00B82D61">
      <w:pPr>
        <w:numPr>
          <w:ilvl w:val="0"/>
          <w:numId w:val="1"/>
        </w:numPr>
        <w:spacing w:after="80" w:line="252" w:lineRule="auto"/>
        <w:ind w:left="600" w:right="356" w:hanging="280"/>
        <w:rPr>
          <w:sz w:val="20"/>
          <w:szCs w:val="20"/>
        </w:rPr>
      </w:pPr>
      <w:r>
        <w:rPr>
          <w:b/>
          <w:sz w:val="20"/>
          <w:szCs w:val="20"/>
        </w:rPr>
        <w:t xml:space="preserve">Driver communication. </w:t>
      </w:r>
      <w:r>
        <w:rPr>
          <w:sz w:val="20"/>
          <w:szCs w:val="20"/>
        </w:rPr>
        <w:t>Market Managers ensure all drivers know the approved fueling locations before operating company vehicles.</w:t>
      </w:r>
    </w:p>
    <w:p w14:paraId="7970DB24" w14:textId="77777777" w:rsidR="004A0E6B" w:rsidRDefault="00B82D61">
      <w:pPr>
        <w:keepNext/>
        <w:keepLines/>
        <w:spacing w:before="200" w:after="80" w:line="252" w:lineRule="auto"/>
        <w:ind w:left="240" w:right="356"/>
        <w:rPr>
          <w:sz w:val="20"/>
          <w:szCs w:val="20"/>
        </w:rPr>
      </w:pPr>
      <w:r>
        <w:rPr>
          <w:b/>
          <w:sz w:val="20"/>
          <w:szCs w:val="20"/>
        </w:rPr>
        <w:t>2</w:t>
      </w:r>
      <w:proofErr w:type="gramStart"/>
      <w:r>
        <w:rPr>
          <w:b/>
          <w:sz w:val="20"/>
          <w:szCs w:val="20"/>
        </w:rPr>
        <w:t>.  End</w:t>
      </w:r>
      <w:proofErr w:type="gramEnd"/>
      <w:r>
        <w:rPr>
          <w:b/>
          <w:sz w:val="20"/>
          <w:szCs w:val="20"/>
        </w:rPr>
        <w:t>-of-Shift Fueling Standard</w:t>
      </w:r>
    </w:p>
    <w:p w14:paraId="7993FC98" w14:textId="77777777" w:rsidR="004A0E6B" w:rsidRDefault="00B82D61">
      <w:pPr>
        <w:numPr>
          <w:ilvl w:val="0"/>
          <w:numId w:val="1"/>
        </w:numPr>
        <w:spacing w:after="80" w:line="252" w:lineRule="auto"/>
        <w:ind w:left="600" w:right="356" w:hanging="280"/>
        <w:rPr>
          <w:sz w:val="20"/>
          <w:szCs w:val="20"/>
        </w:rPr>
      </w:pPr>
      <w:r>
        <w:rPr>
          <w:b/>
          <w:sz w:val="20"/>
          <w:szCs w:val="20"/>
        </w:rPr>
        <w:t xml:space="preserve">Required fueling. </w:t>
      </w:r>
      <w:r>
        <w:rPr>
          <w:sz w:val="20"/>
          <w:szCs w:val="20"/>
        </w:rPr>
        <w:t>All drivers fuel company trucks at one of the designated approved fueling locations at the end of each shift, before returning to the warehouse. Market Managers route the fueling stop at the end of the shift.</w:t>
      </w:r>
    </w:p>
    <w:p w14:paraId="3D4E51A0" w14:textId="77777777" w:rsidR="004A0E6B" w:rsidRDefault="00B82D61">
      <w:pPr>
        <w:numPr>
          <w:ilvl w:val="0"/>
          <w:numId w:val="1"/>
        </w:numPr>
        <w:spacing w:after="80" w:line="252" w:lineRule="auto"/>
        <w:ind w:left="600" w:right="356" w:hanging="280"/>
        <w:rPr>
          <w:sz w:val="20"/>
          <w:szCs w:val="20"/>
        </w:rPr>
      </w:pPr>
      <w:r>
        <w:rPr>
          <w:b/>
          <w:sz w:val="20"/>
          <w:szCs w:val="20"/>
        </w:rPr>
        <w:t xml:space="preserve">Operational readiness. </w:t>
      </w:r>
      <w:r>
        <w:rPr>
          <w:sz w:val="20"/>
          <w:szCs w:val="20"/>
        </w:rPr>
        <w:t>Vehicles are returned with sufficient fuel to support the next scheduled shift, minimizing delays and improving fleet availability.</w:t>
      </w:r>
    </w:p>
    <w:p w14:paraId="009E2B17" w14:textId="77777777" w:rsidR="004A0E6B" w:rsidRDefault="00B82D61">
      <w:pPr>
        <w:numPr>
          <w:ilvl w:val="0"/>
          <w:numId w:val="1"/>
        </w:numPr>
        <w:spacing w:after="80" w:line="252" w:lineRule="auto"/>
        <w:ind w:left="600" w:right="356" w:hanging="280"/>
        <w:rPr>
          <w:sz w:val="20"/>
          <w:szCs w:val="20"/>
        </w:rPr>
      </w:pPr>
      <w:r>
        <w:rPr>
          <w:b/>
          <w:sz w:val="20"/>
          <w:szCs w:val="20"/>
        </w:rPr>
        <w:t xml:space="preserve">Exception reporting. </w:t>
      </w:r>
      <w:r>
        <w:rPr>
          <w:sz w:val="20"/>
          <w:szCs w:val="20"/>
        </w:rPr>
        <w:t>Any situation preventing end-of-shift fueling is reported to the Market Manager immediately and documented.</w:t>
      </w:r>
    </w:p>
    <w:p w14:paraId="376A6B98" w14:textId="77777777" w:rsidR="00DB676C" w:rsidRDefault="00DB676C" w:rsidP="00DB676C">
      <w:pPr>
        <w:spacing w:after="80" w:line="252" w:lineRule="auto"/>
        <w:ind w:left="600" w:right="356"/>
        <w:rPr>
          <w:sz w:val="20"/>
          <w:szCs w:val="20"/>
        </w:rPr>
      </w:pPr>
    </w:p>
    <w:p w14:paraId="4EE7BB2A" w14:textId="08AE6E3B" w:rsidR="004A0E6B" w:rsidRDefault="00B82D61">
      <w:pPr>
        <w:keepNext/>
        <w:keepLines/>
        <w:spacing w:before="200" w:after="80" w:line="252" w:lineRule="auto"/>
        <w:ind w:left="240" w:right="356"/>
        <w:rPr>
          <w:sz w:val="20"/>
          <w:szCs w:val="20"/>
        </w:rPr>
      </w:pPr>
      <w:r>
        <w:rPr>
          <w:b/>
          <w:sz w:val="20"/>
          <w:szCs w:val="20"/>
        </w:rPr>
        <w:lastRenderedPageBreak/>
        <w:t>3. Approved Fuel Types</w:t>
      </w:r>
    </w:p>
    <w:tbl>
      <w:tblPr>
        <w:tblW w:w="9838" w:type="dxa"/>
        <w:tblInd w:w="240" w:type="dxa"/>
        <w:tblLayout w:type="fixed"/>
        <w:tblCellMar>
          <w:top w:w="60" w:type="dxa"/>
          <w:left w:w="0" w:type="dxa"/>
          <w:bottom w:w="60" w:type="dxa"/>
          <w:right w:w="150" w:type="dxa"/>
        </w:tblCellMar>
        <w:tblLook w:val="00A0" w:firstRow="1" w:lastRow="0" w:firstColumn="1" w:lastColumn="0" w:noHBand="0" w:noVBand="0"/>
      </w:tblPr>
      <w:tblGrid>
        <w:gridCol w:w="2900"/>
        <w:gridCol w:w="6938"/>
      </w:tblGrid>
      <w:tr w:rsidR="004A0E6B" w14:paraId="024CDDD2" w14:textId="77777777" w:rsidTr="39633FC2">
        <w:trPr>
          <w:cantSplit/>
          <w:tblHeader/>
        </w:trPr>
        <w:tc>
          <w:tcPr>
            <w:tcW w:w="2900" w:type="dxa"/>
            <w:tcBorders>
              <w:top w:val="single" w:sz="12" w:space="0" w:color="000000" w:themeColor="text1"/>
              <w:left w:val="nil"/>
              <w:bottom w:val="single" w:sz="6" w:space="0" w:color="000000" w:themeColor="text1"/>
              <w:right w:val="nil"/>
            </w:tcBorders>
          </w:tcPr>
          <w:p w14:paraId="2B0421BD" w14:textId="77777777" w:rsidR="004A0E6B" w:rsidRDefault="00B82D61">
            <w:pPr>
              <w:spacing w:before="20" w:after="60" w:line="252" w:lineRule="auto"/>
              <w:ind w:left="115" w:right="60"/>
              <w:rPr>
                <w:sz w:val="20"/>
                <w:szCs w:val="20"/>
              </w:rPr>
            </w:pPr>
            <w:r>
              <w:rPr>
                <w:b/>
                <w:sz w:val="20"/>
                <w:szCs w:val="20"/>
              </w:rPr>
              <w:t>Asset</w:t>
            </w:r>
          </w:p>
        </w:tc>
        <w:tc>
          <w:tcPr>
            <w:tcW w:w="6938" w:type="dxa"/>
            <w:tcBorders>
              <w:top w:val="single" w:sz="12" w:space="0" w:color="000000" w:themeColor="text1"/>
              <w:left w:val="nil"/>
              <w:bottom w:val="single" w:sz="6" w:space="0" w:color="000000" w:themeColor="text1"/>
              <w:right w:val="nil"/>
            </w:tcBorders>
          </w:tcPr>
          <w:p w14:paraId="588F08AE" w14:textId="77777777" w:rsidR="004A0E6B" w:rsidRDefault="00B82D61">
            <w:pPr>
              <w:spacing w:before="20" w:after="60" w:line="252" w:lineRule="auto"/>
              <w:ind w:left="115" w:right="60"/>
              <w:rPr>
                <w:sz w:val="20"/>
                <w:szCs w:val="20"/>
              </w:rPr>
            </w:pPr>
            <w:r>
              <w:rPr>
                <w:b/>
                <w:sz w:val="20"/>
                <w:szCs w:val="20"/>
              </w:rPr>
              <w:t>Approved Fuel</w:t>
            </w:r>
          </w:p>
        </w:tc>
      </w:tr>
      <w:tr w:rsidR="004A0E6B" w14:paraId="1FB74B95" w14:textId="77777777" w:rsidTr="39633FC2">
        <w:trPr>
          <w:cantSplit/>
        </w:trPr>
        <w:tc>
          <w:tcPr>
            <w:tcW w:w="2900" w:type="dxa"/>
            <w:tcBorders>
              <w:top w:val="nil"/>
              <w:left w:val="nil"/>
              <w:bottom w:val="single" w:sz="4" w:space="0" w:color="A6A6A6" w:themeColor="background1" w:themeShade="A6"/>
              <w:right w:val="nil"/>
            </w:tcBorders>
          </w:tcPr>
          <w:p w14:paraId="59E67643" w14:textId="77777777" w:rsidR="004A0E6B" w:rsidRDefault="00B82D61">
            <w:pPr>
              <w:spacing w:before="20" w:after="60" w:line="252" w:lineRule="auto"/>
              <w:ind w:left="115" w:right="60"/>
              <w:rPr>
                <w:sz w:val="20"/>
                <w:szCs w:val="20"/>
              </w:rPr>
            </w:pPr>
            <w:r>
              <w:rPr>
                <w:b/>
                <w:sz w:val="20"/>
                <w:szCs w:val="20"/>
              </w:rPr>
              <w:t>Trucks</w:t>
            </w:r>
          </w:p>
        </w:tc>
        <w:tc>
          <w:tcPr>
            <w:tcW w:w="6938" w:type="dxa"/>
            <w:tcBorders>
              <w:top w:val="nil"/>
              <w:left w:val="nil"/>
              <w:bottom w:val="single" w:sz="4" w:space="0" w:color="A6A6A6" w:themeColor="background1" w:themeShade="A6"/>
              <w:right w:val="nil"/>
            </w:tcBorders>
          </w:tcPr>
          <w:p w14:paraId="7953D24A" w14:textId="46B9640C" w:rsidR="004A0E6B" w:rsidRDefault="00B82D61">
            <w:pPr>
              <w:spacing w:before="20" w:after="60" w:line="252" w:lineRule="auto"/>
              <w:ind w:left="115" w:right="60"/>
              <w:rPr>
                <w:sz w:val="20"/>
                <w:szCs w:val="20"/>
              </w:rPr>
            </w:pPr>
            <w:r w:rsidRPr="39633FC2">
              <w:rPr>
                <w:sz w:val="20"/>
                <w:szCs w:val="20"/>
              </w:rPr>
              <w:t>Diesel.</w:t>
            </w:r>
            <w:r w:rsidR="477D16CC" w:rsidRPr="39633FC2">
              <w:rPr>
                <w:sz w:val="20"/>
                <w:szCs w:val="20"/>
              </w:rPr>
              <w:t xml:space="preserve"> </w:t>
            </w:r>
            <w:r w:rsidR="477D16CC" w:rsidRPr="39633FC2">
              <w:rPr>
                <w:b/>
                <w:bCs/>
                <w:sz w:val="20"/>
                <w:szCs w:val="20"/>
              </w:rPr>
              <w:t>(</w:t>
            </w:r>
            <w:r w:rsidR="6C6BD5FC" w:rsidRPr="39633FC2">
              <w:rPr>
                <w:b/>
                <w:bCs/>
                <w:sz w:val="20"/>
                <w:szCs w:val="20"/>
              </w:rPr>
              <w:t>DEF should be filled at warehouses, not the pumps)</w:t>
            </w:r>
            <w:r w:rsidR="6C6BD5FC" w:rsidRPr="39633FC2">
              <w:rPr>
                <w:sz w:val="20"/>
                <w:szCs w:val="20"/>
              </w:rPr>
              <w:t xml:space="preserve"> </w:t>
            </w:r>
          </w:p>
        </w:tc>
      </w:tr>
      <w:tr w:rsidR="004A0E6B" w14:paraId="132F66D7" w14:textId="77777777" w:rsidTr="39633FC2">
        <w:trPr>
          <w:cantSplit/>
        </w:trPr>
        <w:tc>
          <w:tcPr>
            <w:tcW w:w="2900" w:type="dxa"/>
            <w:tcBorders>
              <w:top w:val="nil"/>
              <w:left w:val="nil"/>
              <w:bottom w:val="single" w:sz="4" w:space="0" w:color="A6A6A6" w:themeColor="background1" w:themeShade="A6"/>
              <w:right w:val="nil"/>
            </w:tcBorders>
          </w:tcPr>
          <w:p w14:paraId="55DB5FC8" w14:textId="77777777" w:rsidR="004A0E6B" w:rsidRDefault="00B82D61">
            <w:pPr>
              <w:spacing w:before="20" w:after="60" w:line="252" w:lineRule="auto"/>
              <w:ind w:left="115" w:right="60"/>
              <w:rPr>
                <w:sz w:val="20"/>
                <w:szCs w:val="20"/>
              </w:rPr>
            </w:pPr>
            <w:r>
              <w:rPr>
                <w:b/>
                <w:sz w:val="20"/>
                <w:szCs w:val="20"/>
              </w:rPr>
              <w:t>PodZillas</w:t>
            </w:r>
          </w:p>
        </w:tc>
        <w:tc>
          <w:tcPr>
            <w:tcW w:w="6938" w:type="dxa"/>
            <w:tcBorders>
              <w:top w:val="nil"/>
              <w:left w:val="nil"/>
              <w:bottom w:val="single" w:sz="4" w:space="0" w:color="A6A6A6" w:themeColor="background1" w:themeShade="A6"/>
              <w:right w:val="nil"/>
            </w:tcBorders>
          </w:tcPr>
          <w:p w14:paraId="5BF64E87" w14:textId="77777777" w:rsidR="004A0E6B" w:rsidRDefault="00B82D61">
            <w:pPr>
              <w:spacing w:before="20" w:after="60" w:line="252" w:lineRule="auto"/>
              <w:ind w:left="115" w:right="60"/>
              <w:rPr>
                <w:sz w:val="20"/>
                <w:szCs w:val="20"/>
              </w:rPr>
            </w:pPr>
            <w:r>
              <w:rPr>
                <w:sz w:val="20"/>
                <w:szCs w:val="20"/>
              </w:rPr>
              <w:t>Regular 87 octane gasoline.</w:t>
            </w:r>
          </w:p>
        </w:tc>
      </w:tr>
      <w:tr w:rsidR="004A0E6B" w14:paraId="3FC7F711" w14:textId="77777777" w:rsidTr="39633FC2">
        <w:trPr>
          <w:cantSplit/>
        </w:trPr>
        <w:tc>
          <w:tcPr>
            <w:tcW w:w="2900" w:type="dxa"/>
            <w:tcBorders>
              <w:top w:val="nil"/>
              <w:left w:val="nil"/>
              <w:bottom w:val="single" w:sz="12" w:space="0" w:color="000000" w:themeColor="text1"/>
              <w:right w:val="nil"/>
            </w:tcBorders>
          </w:tcPr>
          <w:p w14:paraId="1C88F8C2" w14:textId="77777777" w:rsidR="004A0E6B" w:rsidRDefault="00B82D61">
            <w:pPr>
              <w:spacing w:before="20" w:after="60" w:line="252" w:lineRule="auto"/>
              <w:ind w:left="115" w:right="60"/>
              <w:rPr>
                <w:sz w:val="20"/>
                <w:szCs w:val="20"/>
              </w:rPr>
            </w:pPr>
            <w:r>
              <w:rPr>
                <w:b/>
                <w:sz w:val="20"/>
                <w:szCs w:val="20"/>
              </w:rPr>
              <w:t>Prohibited</w:t>
            </w:r>
          </w:p>
        </w:tc>
        <w:tc>
          <w:tcPr>
            <w:tcW w:w="6938" w:type="dxa"/>
            <w:tcBorders>
              <w:top w:val="nil"/>
              <w:left w:val="nil"/>
              <w:bottom w:val="single" w:sz="12" w:space="0" w:color="000000" w:themeColor="text1"/>
              <w:right w:val="nil"/>
            </w:tcBorders>
          </w:tcPr>
          <w:p w14:paraId="4DBBFC39" w14:textId="4FB4D108" w:rsidR="004A0E6B" w:rsidRDefault="00B82D61">
            <w:pPr>
              <w:spacing w:before="20" w:after="60" w:line="252" w:lineRule="auto"/>
              <w:ind w:left="115" w:right="60"/>
            </w:pPr>
            <w:r w:rsidRPr="39633FC2">
              <w:rPr>
                <w:sz w:val="20"/>
                <w:szCs w:val="20"/>
              </w:rPr>
              <w:t>Midgrade gasoline, premium gasoline, and off-road diesel.</w:t>
            </w:r>
          </w:p>
        </w:tc>
      </w:tr>
    </w:tbl>
    <w:p w14:paraId="755E1147" w14:textId="77777777" w:rsidR="004A0E6B" w:rsidRDefault="004A0E6B">
      <w:pPr>
        <w:spacing w:line="252" w:lineRule="auto"/>
        <w:ind w:left="240"/>
        <w:rPr>
          <w:sz w:val="20"/>
          <w:szCs w:val="20"/>
        </w:rPr>
      </w:pPr>
    </w:p>
    <w:p w14:paraId="3B558FFA" w14:textId="77777777" w:rsidR="004A0E6B" w:rsidRDefault="00B82D61">
      <w:pPr>
        <w:keepNext/>
        <w:keepLines/>
        <w:spacing w:before="200" w:after="80" w:line="252" w:lineRule="auto"/>
        <w:ind w:left="240" w:right="356"/>
        <w:rPr>
          <w:sz w:val="20"/>
          <w:szCs w:val="20"/>
        </w:rPr>
      </w:pPr>
      <w:r w:rsidRPr="39633FC2">
        <w:rPr>
          <w:b/>
          <w:bCs/>
          <w:sz w:val="20"/>
          <w:szCs w:val="20"/>
        </w:rPr>
        <w:t>4</w:t>
      </w:r>
      <w:proofErr w:type="gramStart"/>
      <w:r w:rsidRPr="39633FC2">
        <w:rPr>
          <w:b/>
          <w:bCs/>
          <w:sz w:val="20"/>
          <w:szCs w:val="20"/>
        </w:rPr>
        <w:t>.  Fuel</w:t>
      </w:r>
      <w:proofErr w:type="gramEnd"/>
      <w:r w:rsidRPr="39633FC2">
        <w:rPr>
          <w:b/>
          <w:bCs/>
          <w:sz w:val="20"/>
          <w:szCs w:val="20"/>
        </w:rPr>
        <w:t xml:space="preserve"> Cards and Driver PIN Controls</w:t>
      </w:r>
    </w:p>
    <w:p w14:paraId="5C813619" w14:textId="5FA716DE" w:rsidR="004A0E6B" w:rsidRPr="00DB676C" w:rsidRDefault="00B82D61">
      <w:pPr>
        <w:numPr>
          <w:ilvl w:val="0"/>
          <w:numId w:val="1"/>
        </w:numPr>
        <w:spacing w:after="80" w:line="252" w:lineRule="auto"/>
        <w:ind w:left="600" w:right="356" w:hanging="280"/>
        <w:rPr>
          <w:sz w:val="20"/>
          <w:szCs w:val="20"/>
          <w:highlight w:val="yellow"/>
        </w:rPr>
      </w:pPr>
      <w:r w:rsidRPr="39633FC2">
        <w:rPr>
          <w:b/>
          <w:bCs/>
          <w:sz w:val="20"/>
          <w:szCs w:val="20"/>
        </w:rPr>
        <w:t xml:space="preserve">Fuel card location. </w:t>
      </w:r>
      <w:r w:rsidRPr="39633FC2">
        <w:rPr>
          <w:sz w:val="20"/>
          <w:szCs w:val="20"/>
        </w:rPr>
        <w:t xml:space="preserve">Fuel cards are not taken home. </w:t>
      </w:r>
    </w:p>
    <w:p w14:paraId="64053379" w14:textId="77777777" w:rsidR="004A0E6B" w:rsidRDefault="00B82D61">
      <w:pPr>
        <w:numPr>
          <w:ilvl w:val="0"/>
          <w:numId w:val="1"/>
        </w:numPr>
        <w:spacing w:after="80" w:line="252" w:lineRule="auto"/>
        <w:ind w:left="600" w:right="356" w:hanging="280"/>
        <w:rPr>
          <w:sz w:val="20"/>
          <w:szCs w:val="20"/>
        </w:rPr>
      </w:pPr>
      <w:r>
        <w:rPr>
          <w:b/>
          <w:sz w:val="20"/>
          <w:szCs w:val="20"/>
        </w:rPr>
        <w:t xml:space="preserve">Unique PIN assignment. </w:t>
      </w:r>
      <w:r>
        <w:rPr>
          <w:sz w:val="20"/>
          <w:szCs w:val="20"/>
        </w:rPr>
        <w:t>Every authorized driver is assigned a unique WEX driver PIN. PIN sharing is strictly prohibited.</w:t>
      </w:r>
    </w:p>
    <w:p w14:paraId="3694935B" w14:textId="77777777" w:rsidR="004A0E6B" w:rsidRDefault="00B82D61">
      <w:pPr>
        <w:numPr>
          <w:ilvl w:val="0"/>
          <w:numId w:val="1"/>
        </w:numPr>
        <w:spacing w:after="80" w:line="252" w:lineRule="auto"/>
        <w:ind w:left="600" w:right="356" w:hanging="280"/>
        <w:rPr>
          <w:sz w:val="20"/>
          <w:szCs w:val="20"/>
        </w:rPr>
      </w:pPr>
      <w:r>
        <w:rPr>
          <w:b/>
          <w:sz w:val="20"/>
          <w:szCs w:val="20"/>
        </w:rPr>
        <w:t xml:space="preserve">Odometer and hour entry. </w:t>
      </w:r>
      <w:r>
        <w:rPr>
          <w:sz w:val="20"/>
          <w:szCs w:val="20"/>
        </w:rPr>
        <w:t>Drivers enter accurate odometer readings for trucks and hour readings for PodZillas at the time of sale.</w:t>
      </w:r>
    </w:p>
    <w:p w14:paraId="7CE5E132" w14:textId="77777777" w:rsidR="004A0E6B" w:rsidRDefault="00B82D61">
      <w:pPr>
        <w:numPr>
          <w:ilvl w:val="0"/>
          <w:numId w:val="1"/>
        </w:numPr>
        <w:spacing w:after="80" w:line="252" w:lineRule="auto"/>
        <w:ind w:left="600" w:right="356" w:hanging="280"/>
        <w:rPr>
          <w:sz w:val="20"/>
          <w:szCs w:val="20"/>
        </w:rPr>
      </w:pPr>
      <w:r>
        <w:rPr>
          <w:b/>
          <w:sz w:val="20"/>
          <w:szCs w:val="20"/>
        </w:rPr>
        <w:t xml:space="preserve">Separate transactions. </w:t>
      </w:r>
      <w:r>
        <w:rPr>
          <w:sz w:val="20"/>
          <w:szCs w:val="20"/>
        </w:rPr>
        <w:t>Fueling the truck and the PodZilla requires separate transactions. A driver's PIN is therefore used twice, within the same time frame.</w:t>
      </w:r>
    </w:p>
    <w:p w14:paraId="19FD44E3" w14:textId="11AE1D41" w:rsidR="004A0E6B" w:rsidRDefault="00B82D61">
      <w:pPr>
        <w:numPr>
          <w:ilvl w:val="0"/>
          <w:numId w:val="1"/>
        </w:numPr>
        <w:spacing w:after="80" w:line="252" w:lineRule="auto"/>
        <w:ind w:left="600" w:right="356" w:hanging="280"/>
        <w:rPr>
          <w:sz w:val="20"/>
          <w:szCs w:val="20"/>
        </w:rPr>
      </w:pPr>
      <w:r w:rsidRPr="39633FC2">
        <w:rPr>
          <w:b/>
          <w:bCs/>
          <w:sz w:val="20"/>
          <w:szCs w:val="20"/>
        </w:rPr>
        <w:t xml:space="preserve">Daily PIN monitoring. </w:t>
      </w:r>
      <w:r w:rsidRPr="39633FC2">
        <w:rPr>
          <w:sz w:val="20"/>
          <w:szCs w:val="20"/>
        </w:rPr>
        <w:t xml:space="preserve">A recurring audit report is generated to verify PIN usage and ensure each driver PIN is used no more than </w:t>
      </w:r>
      <w:r w:rsidR="40884C54" w:rsidRPr="39633FC2">
        <w:rPr>
          <w:sz w:val="20"/>
          <w:szCs w:val="20"/>
        </w:rPr>
        <w:t>three times</w:t>
      </w:r>
      <w:r w:rsidRPr="39633FC2">
        <w:rPr>
          <w:sz w:val="20"/>
          <w:szCs w:val="20"/>
        </w:rPr>
        <w:t xml:space="preserve"> per day unless a documented operational exception exists.</w:t>
      </w:r>
    </w:p>
    <w:p w14:paraId="2448668C" w14:textId="77777777" w:rsidR="004A0E6B" w:rsidRDefault="00B82D61">
      <w:pPr>
        <w:numPr>
          <w:ilvl w:val="0"/>
          <w:numId w:val="1"/>
        </w:numPr>
        <w:spacing w:after="80" w:line="252" w:lineRule="auto"/>
        <w:ind w:left="600" w:right="356" w:hanging="280"/>
        <w:rPr>
          <w:sz w:val="20"/>
          <w:szCs w:val="20"/>
        </w:rPr>
      </w:pPr>
      <w:r>
        <w:rPr>
          <w:b/>
          <w:sz w:val="20"/>
          <w:szCs w:val="20"/>
        </w:rPr>
        <w:t xml:space="preserve">Periodic PIN audits. </w:t>
      </w:r>
      <w:r>
        <w:rPr>
          <w:sz w:val="20"/>
          <w:szCs w:val="20"/>
        </w:rPr>
        <w:t>Market Managers conduct periodic reviews to validate that PINs are assigned only to active drivers, remove inactive or unauthorized PINs promptly, and confirm accountability for all fuel transactions.</w:t>
      </w:r>
    </w:p>
    <w:p w14:paraId="761810B4" w14:textId="4FC26440" w:rsidR="004A0E6B" w:rsidRDefault="00B82D61" w:rsidP="39633FC2">
      <w:pPr>
        <w:numPr>
          <w:ilvl w:val="0"/>
          <w:numId w:val="1"/>
        </w:numPr>
        <w:spacing w:after="80" w:line="252" w:lineRule="auto"/>
        <w:ind w:left="600" w:right="356" w:hanging="280"/>
        <w:rPr>
          <w:sz w:val="20"/>
          <w:szCs w:val="20"/>
        </w:rPr>
      </w:pPr>
      <w:r w:rsidRPr="39633FC2">
        <w:rPr>
          <w:b/>
          <w:bCs/>
          <w:sz w:val="20"/>
          <w:szCs w:val="20"/>
        </w:rPr>
        <w:t xml:space="preserve">Security responsibility. </w:t>
      </w:r>
      <w:r w:rsidRPr="39633FC2">
        <w:rPr>
          <w:sz w:val="20"/>
          <w:szCs w:val="20"/>
        </w:rPr>
        <w:t>Drivers are responsible for protecting their assigned PIN. Unauthorized use, PIN sharing, or misuse may result in disciplinary action.</w:t>
      </w:r>
    </w:p>
    <w:p w14:paraId="1445D2E3" w14:textId="77777777" w:rsidR="004A0E6B" w:rsidRDefault="00B82D61">
      <w:pPr>
        <w:keepNext/>
        <w:keepLines/>
        <w:spacing w:before="200" w:after="80" w:line="252" w:lineRule="auto"/>
        <w:ind w:left="240" w:right="356"/>
        <w:rPr>
          <w:sz w:val="20"/>
          <w:szCs w:val="20"/>
        </w:rPr>
      </w:pPr>
      <w:r>
        <w:rPr>
          <w:b/>
          <w:sz w:val="20"/>
          <w:szCs w:val="20"/>
        </w:rPr>
        <w:t>5</w:t>
      </w:r>
      <w:proofErr w:type="gramStart"/>
      <w:r>
        <w:rPr>
          <w:b/>
          <w:sz w:val="20"/>
          <w:szCs w:val="20"/>
        </w:rPr>
        <w:t>.  Fuel</w:t>
      </w:r>
      <w:proofErr w:type="gramEnd"/>
      <w:r>
        <w:rPr>
          <w:b/>
          <w:sz w:val="20"/>
          <w:szCs w:val="20"/>
        </w:rPr>
        <w:t xml:space="preserve"> Receipt Verification</w:t>
      </w:r>
    </w:p>
    <w:p w14:paraId="55B80DEE" w14:textId="77777777" w:rsidR="004A0E6B" w:rsidRDefault="00B82D61">
      <w:pPr>
        <w:numPr>
          <w:ilvl w:val="0"/>
          <w:numId w:val="1"/>
        </w:numPr>
        <w:spacing w:after="80" w:line="252" w:lineRule="auto"/>
        <w:ind w:left="600" w:right="356" w:hanging="280"/>
        <w:rPr>
          <w:sz w:val="20"/>
          <w:szCs w:val="20"/>
        </w:rPr>
      </w:pPr>
      <w:r>
        <w:rPr>
          <w:b/>
          <w:sz w:val="20"/>
          <w:szCs w:val="20"/>
        </w:rPr>
        <w:t xml:space="preserve">Driver responsibility. </w:t>
      </w:r>
      <w:r>
        <w:rPr>
          <w:sz w:val="20"/>
          <w:szCs w:val="20"/>
        </w:rPr>
        <w:t>Drivers submit all fuel receipts to their Market Manager at the end of each workday.</w:t>
      </w:r>
    </w:p>
    <w:p w14:paraId="10FB3789" w14:textId="77777777" w:rsidR="004A0E6B" w:rsidRDefault="00B82D61">
      <w:pPr>
        <w:numPr>
          <w:ilvl w:val="0"/>
          <w:numId w:val="1"/>
        </w:numPr>
        <w:spacing w:after="80" w:line="252" w:lineRule="auto"/>
        <w:ind w:left="600" w:right="356" w:hanging="280"/>
        <w:rPr>
          <w:sz w:val="20"/>
          <w:szCs w:val="20"/>
        </w:rPr>
      </w:pPr>
      <w:r>
        <w:rPr>
          <w:b/>
          <w:sz w:val="20"/>
          <w:szCs w:val="20"/>
        </w:rPr>
        <w:t xml:space="preserve">Manager verification. </w:t>
      </w:r>
      <w:r>
        <w:rPr>
          <w:sz w:val="20"/>
          <w:szCs w:val="20"/>
        </w:rPr>
        <w:t>Market Managers verify that fuel purchases were made at approved fueling locations, that purchase amounts align with WEX transaction records, and that any exceptions are documented with supporting justification.</w:t>
      </w:r>
    </w:p>
    <w:p w14:paraId="108E2E9B" w14:textId="77777777" w:rsidR="004A0E6B" w:rsidRDefault="00B82D61">
      <w:pPr>
        <w:numPr>
          <w:ilvl w:val="0"/>
          <w:numId w:val="1"/>
        </w:numPr>
        <w:spacing w:after="80" w:line="252" w:lineRule="auto"/>
        <w:ind w:left="600" w:right="356" w:hanging="280"/>
        <w:rPr>
          <w:sz w:val="20"/>
          <w:szCs w:val="20"/>
        </w:rPr>
      </w:pPr>
      <w:r>
        <w:rPr>
          <w:b/>
          <w:sz w:val="20"/>
          <w:szCs w:val="20"/>
        </w:rPr>
        <w:t xml:space="preserve">Record retention. </w:t>
      </w:r>
      <w:r>
        <w:rPr>
          <w:sz w:val="20"/>
          <w:szCs w:val="20"/>
        </w:rPr>
        <w:t>Fuel receipts and supporting documentation are maintained in accordance with company record retention requirements.</w:t>
      </w:r>
    </w:p>
    <w:p w14:paraId="399EADC0" w14:textId="77777777" w:rsidR="004A0E6B" w:rsidRDefault="00B82D61">
      <w:pPr>
        <w:keepNext/>
        <w:keepLines/>
        <w:spacing w:before="200" w:after="80" w:line="252" w:lineRule="auto"/>
        <w:ind w:left="240" w:right="356"/>
        <w:rPr>
          <w:sz w:val="20"/>
          <w:szCs w:val="20"/>
        </w:rPr>
      </w:pPr>
      <w:r>
        <w:rPr>
          <w:b/>
          <w:sz w:val="20"/>
          <w:szCs w:val="20"/>
        </w:rPr>
        <w:t>6</w:t>
      </w:r>
      <w:proofErr w:type="gramStart"/>
      <w:r>
        <w:rPr>
          <w:b/>
          <w:sz w:val="20"/>
          <w:szCs w:val="20"/>
        </w:rPr>
        <w:t>.  Weekly</w:t>
      </w:r>
      <w:proofErr w:type="gramEnd"/>
      <w:r>
        <w:rPr>
          <w:b/>
          <w:sz w:val="20"/>
          <w:szCs w:val="20"/>
        </w:rPr>
        <w:t xml:space="preserve"> Compliance Audits</w:t>
      </w:r>
    </w:p>
    <w:p w14:paraId="177C767E" w14:textId="77777777" w:rsidR="004A0E6B" w:rsidRDefault="00B82D61">
      <w:pPr>
        <w:spacing w:after="140" w:line="252" w:lineRule="auto"/>
        <w:ind w:left="240" w:right="356"/>
        <w:rPr>
          <w:sz w:val="20"/>
          <w:szCs w:val="20"/>
        </w:rPr>
      </w:pPr>
      <w:r>
        <w:rPr>
          <w:sz w:val="20"/>
          <w:szCs w:val="20"/>
        </w:rPr>
        <w:t>Market Managers review WEX reporting on a weekly basis to:</w:t>
      </w:r>
    </w:p>
    <w:p w14:paraId="1CDA8E27" w14:textId="77777777" w:rsidR="004A0E6B" w:rsidRDefault="00B82D61">
      <w:pPr>
        <w:numPr>
          <w:ilvl w:val="0"/>
          <w:numId w:val="1"/>
        </w:numPr>
        <w:spacing w:after="80" w:line="252" w:lineRule="auto"/>
        <w:ind w:left="600" w:right="356" w:hanging="280"/>
        <w:rPr>
          <w:sz w:val="20"/>
          <w:szCs w:val="20"/>
        </w:rPr>
      </w:pPr>
      <w:r>
        <w:rPr>
          <w:sz w:val="20"/>
          <w:szCs w:val="20"/>
        </w:rPr>
        <w:t>Verify fueling occurred at approved locations</w:t>
      </w:r>
    </w:p>
    <w:p w14:paraId="078C217F" w14:textId="77777777" w:rsidR="004A0E6B" w:rsidRDefault="00B82D61">
      <w:pPr>
        <w:numPr>
          <w:ilvl w:val="0"/>
          <w:numId w:val="1"/>
        </w:numPr>
        <w:spacing w:after="80" w:line="252" w:lineRule="auto"/>
        <w:ind w:left="600" w:right="356" w:hanging="280"/>
        <w:rPr>
          <w:sz w:val="20"/>
          <w:szCs w:val="20"/>
        </w:rPr>
      </w:pPr>
      <w:r>
        <w:rPr>
          <w:sz w:val="20"/>
          <w:szCs w:val="20"/>
        </w:rPr>
        <w:t>Monitor fuel spending and purchasing trends</w:t>
      </w:r>
    </w:p>
    <w:p w14:paraId="25EDC8E0" w14:textId="77777777" w:rsidR="004A0E6B" w:rsidRDefault="00B82D61">
      <w:pPr>
        <w:numPr>
          <w:ilvl w:val="0"/>
          <w:numId w:val="1"/>
        </w:numPr>
        <w:spacing w:after="80" w:line="252" w:lineRule="auto"/>
        <w:ind w:left="600" w:right="356" w:hanging="280"/>
        <w:rPr>
          <w:sz w:val="20"/>
          <w:szCs w:val="20"/>
        </w:rPr>
      </w:pPr>
      <w:r>
        <w:rPr>
          <w:sz w:val="20"/>
          <w:szCs w:val="20"/>
        </w:rPr>
        <w:t>Identify unauthorized transactions or exceptions</w:t>
      </w:r>
    </w:p>
    <w:p w14:paraId="2E3FF4A5" w14:textId="77777777" w:rsidR="004A0E6B" w:rsidRDefault="00B82D61">
      <w:pPr>
        <w:numPr>
          <w:ilvl w:val="0"/>
          <w:numId w:val="1"/>
        </w:numPr>
        <w:spacing w:after="80" w:line="252" w:lineRule="auto"/>
        <w:ind w:left="600" w:right="356" w:hanging="280"/>
        <w:rPr>
          <w:sz w:val="20"/>
          <w:szCs w:val="20"/>
        </w:rPr>
      </w:pPr>
      <w:r>
        <w:rPr>
          <w:sz w:val="20"/>
          <w:szCs w:val="20"/>
        </w:rPr>
        <w:t>Confirm compliance with company fueling standards</w:t>
      </w:r>
    </w:p>
    <w:p w14:paraId="66992B6A" w14:textId="77777777" w:rsidR="004A0E6B" w:rsidRDefault="00B82D61">
      <w:pPr>
        <w:spacing w:before="100" w:after="140" w:line="252" w:lineRule="auto"/>
        <w:ind w:left="240" w:right="356"/>
        <w:rPr>
          <w:sz w:val="20"/>
          <w:szCs w:val="20"/>
        </w:rPr>
      </w:pPr>
      <w:r>
        <w:rPr>
          <w:b/>
          <w:sz w:val="20"/>
          <w:szCs w:val="20"/>
        </w:rPr>
        <w:t xml:space="preserve">Exception resolution. </w:t>
      </w:r>
      <w:r>
        <w:rPr>
          <w:sz w:val="20"/>
          <w:szCs w:val="20"/>
        </w:rPr>
        <w:t>Any discrepancies identified during the audit are investigated promptly, documented, and resolved.</w:t>
      </w:r>
    </w:p>
    <w:p w14:paraId="1D237AAB" w14:textId="77777777" w:rsidR="004A0E6B" w:rsidRDefault="00B82D61">
      <w:pPr>
        <w:spacing w:after="140" w:line="252" w:lineRule="auto"/>
        <w:ind w:left="240" w:right="356"/>
        <w:rPr>
          <w:sz w:val="20"/>
          <w:szCs w:val="20"/>
        </w:rPr>
      </w:pPr>
      <w:r>
        <w:rPr>
          <w:b/>
          <w:sz w:val="20"/>
          <w:szCs w:val="20"/>
        </w:rPr>
        <w:t xml:space="preserve">Report location. </w:t>
      </w:r>
      <w:r>
        <w:rPr>
          <w:sz w:val="20"/>
          <w:szCs w:val="20"/>
        </w:rPr>
        <w:t>WEX reports are maintained at F:\Corp Ops\Fuel Program.</w:t>
      </w:r>
    </w:p>
    <w:p w14:paraId="7525C0F1" w14:textId="6E1EB870" w:rsidR="004A0E6B" w:rsidRDefault="00B82D61">
      <w:pPr>
        <w:spacing w:after="140" w:line="252" w:lineRule="auto"/>
        <w:ind w:left="240" w:right="356"/>
        <w:rPr>
          <w:sz w:val="20"/>
          <w:szCs w:val="20"/>
        </w:rPr>
      </w:pPr>
      <w:r w:rsidRPr="39633FC2">
        <w:rPr>
          <w:i/>
          <w:iCs/>
          <w:sz w:val="20"/>
          <w:szCs w:val="20"/>
        </w:rPr>
        <w:t>The weekly WEX summary report is in development with WEX. Until it is available, Market Managers perform this review in the WEX app</w:t>
      </w:r>
      <w:r w:rsidR="3DCF6259" w:rsidRPr="39633FC2">
        <w:rPr>
          <w:i/>
          <w:iCs/>
          <w:sz w:val="20"/>
          <w:szCs w:val="20"/>
        </w:rPr>
        <w:t xml:space="preserve"> and with the end of month supplied by Fleet</w:t>
      </w:r>
      <w:r w:rsidRPr="39633FC2">
        <w:rPr>
          <w:i/>
          <w:iCs/>
          <w:sz w:val="20"/>
          <w:szCs w:val="20"/>
        </w:rPr>
        <w:t>.</w:t>
      </w:r>
    </w:p>
    <w:p w14:paraId="4467E10D" w14:textId="77777777" w:rsidR="004A0E6B" w:rsidRDefault="00B82D61">
      <w:pPr>
        <w:keepNext/>
        <w:keepLines/>
        <w:spacing w:before="360" w:after="120"/>
        <w:ind w:left="240"/>
        <w:rPr>
          <w:b/>
        </w:rPr>
      </w:pPr>
      <w:r>
        <w:rPr>
          <w:b/>
          <w:spacing w:val="-2"/>
          <w:u w:val="thick"/>
        </w:rPr>
        <w:lastRenderedPageBreak/>
        <w:t>Responsibilities</w:t>
      </w:r>
    </w:p>
    <w:tbl>
      <w:tblPr>
        <w:tblW w:w="9838" w:type="dxa"/>
        <w:tblInd w:w="240" w:type="dxa"/>
        <w:tblLayout w:type="fixed"/>
        <w:tblCellMar>
          <w:top w:w="60" w:type="dxa"/>
          <w:left w:w="0" w:type="dxa"/>
          <w:bottom w:w="60" w:type="dxa"/>
          <w:right w:w="150" w:type="dxa"/>
        </w:tblCellMar>
        <w:tblLook w:val="00A0" w:firstRow="1" w:lastRow="0" w:firstColumn="1" w:lastColumn="0" w:noHBand="0" w:noVBand="0"/>
      </w:tblPr>
      <w:tblGrid>
        <w:gridCol w:w="2900"/>
        <w:gridCol w:w="6938"/>
      </w:tblGrid>
      <w:tr w:rsidR="004A0E6B" w14:paraId="22EA8B2F" w14:textId="77777777">
        <w:trPr>
          <w:cantSplit/>
          <w:tblHeader/>
        </w:trPr>
        <w:tc>
          <w:tcPr>
            <w:tcW w:w="2900" w:type="dxa"/>
            <w:tcBorders>
              <w:top w:val="single" w:sz="12" w:space="0" w:color="000000"/>
              <w:left w:val="nil"/>
              <w:bottom w:val="single" w:sz="6" w:space="0" w:color="000000"/>
              <w:right w:val="nil"/>
            </w:tcBorders>
          </w:tcPr>
          <w:p w14:paraId="6031812B" w14:textId="77777777" w:rsidR="004A0E6B" w:rsidRDefault="00B82D61">
            <w:pPr>
              <w:spacing w:before="20" w:after="60" w:line="252" w:lineRule="auto"/>
              <w:ind w:left="115" w:right="60"/>
              <w:rPr>
                <w:sz w:val="20"/>
                <w:szCs w:val="20"/>
              </w:rPr>
            </w:pPr>
            <w:r>
              <w:rPr>
                <w:b/>
                <w:sz w:val="20"/>
                <w:szCs w:val="20"/>
              </w:rPr>
              <w:t>Role</w:t>
            </w:r>
          </w:p>
        </w:tc>
        <w:tc>
          <w:tcPr>
            <w:tcW w:w="6938" w:type="dxa"/>
            <w:tcBorders>
              <w:top w:val="single" w:sz="12" w:space="0" w:color="000000"/>
              <w:left w:val="nil"/>
              <w:bottom w:val="single" w:sz="6" w:space="0" w:color="000000"/>
              <w:right w:val="nil"/>
            </w:tcBorders>
          </w:tcPr>
          <w:p w14:paraId="66353978" w14:textId="77777777" w:rsidR="004A0E6B" w:rsidRDefault="00B82D61">
            <w:pPr>
              <w:spacing w:before="20" w:after="60" w:line="252" w:lineRule="auto"/>
              <w:ind w:left="115" w:right="60"/>
              <w:rPr>
                <w:sz w:val="20"/>
                <w:szCs w:val="20"/>
              </w:rPr>
            </w:pPr>
            <w:r>
              <w:rPr>
                <w:b/>
                <w:sz w:val="20"/>
                <w:szCs w:val="20"/>
              </w:rPr>
              <w:t>Responsibility</w:t>
            </w:r>
          </w:p>
        </w:tc>
      </w:tr>
      <w:tr w:rsidR="004A0E6B" w14:paraId="2F60C9CC" w14:textId="77777777">
        <w:trPr>
          <w:cantSplit/>
        </w:trPr>
        <w:tc>
          <w:tcPr>
            <w:tcW w:w="2900" w:type="dxa"/>
            <w:tcBorders>
              <w:top w:val="nil"/>
              <w:left w:val="nil"/>
              <w:bottom w:val="single" w:sz="4" w:space="0" w:color="A6A6A6"/>
              <w:right w:val="nil"/>
            </w:tcBorders>
          </w:tcPr>
          <w:p w14:paraId="1AEA54B5" w14:textId="77777777" w:rsidR="004A0E6B" w:rsidRDefault="00B82D61">
            <w:pPr>
              <w:spacing w:before="20" w:after="60" w:line="252" w:lineRule="auto"/>
              <w:ind w:left="115" w:right="60"/>
              <w:rPr>
                <w:sz w:val="20"/>
                <w:szCs w:val="20"/>
              </w:rPr>
            </w:pPr>
            <w:r>
              <w:rPr>
                <w:b/>
                <w:sz w:val="20"/>
                <w:szCs w:val="20"/>
              </w:rPr>
              <w:t>Drivers</w:t>
            </w:r>
          </w:p>
        </w:tc>
        <w:tc>
          <w:tcPr>
            <w:tcW w:w="6938" w:type="dxa"/>
            <w:tcBorders>
              <w:top w:val="nil"/>
              <w:left w:val="nil"/>
              <w:bottom w:val="single" w:sz="4" w:space="0" w:color="A6A6A6"/>
              <w:right w:val="nil"/>
            </w:tcBorders>
          </w:tcPr>
          <w:p w14:paraId="2AC053EF" w14:textId="77777777" w:rsidR="004A0E6B" w:rsidRDefault="00B82D61">
            <w:pPr>
              <w:spacing w:before="20" w:after="60" w:line="252" w:lineRule="auto"/>
              <w:ind w:left="115" w:right="60"/>
              <w:rPr>
                <w:sz w:val="20"/>
                <w:szCs w:val="20"/>
              </w:rPr>
            </w:pPr>
            <w:r>
              <w:rPr>
                <w:sz w:val="20"/>
                <w:szCs w:val="20"/>
              </w:rPr>
              <w:t>Fuel only at approved fueling locations. Fuel company vehicles at the end of each shift. Submit all fuel receipts daily. Protect and use only their assigned WEX PIN. Enter accurate odometer readings for trucks and hour readings for PodZillas. Purchase only approved fuel types. Leave the fuel card with the truck. Immediately report any fueling issue or operational exception.</w:t>
            </w:r>
          </w:p>
        </w:tc>
      </w:tr>
      <w:tr w:rsidR="004A0E6B" w14:paraId="53AF3EA1" w14:textId="77777777">
        <w:trPr>
          <w:cantSplit/>
        </w:trPr>
        <w:tc>
          <w:tcPr>
            <w:tcW w:w="2900" w:type="dxa"/>
            <w:tcBorders>
              <w:top w:val="nil"/>
              <w:left w:val="nil"/>
              <w:bottom w:val="single" w:sz="12" w:space="0" w:color="000000"/>
              <w:right w:val="nil"/>
            </w:tcBorders>
          </w:tcPr>
          <w:p w14:paraId="2F2A6603" w14:textId="77777777" w:rsidR="004A0E6B" w:rsidRDefault="00B82D61">
            <w:pPr>
              <w:spacing w:before="20" w:after="60" w:line="252" w:lineRule="auto"/>
              <w:ind w:left="115" w:right="60"/>
              <w:rPr>
                <w:sz w:val="20"/>
                <w:szCs w:val="20"/>
              </w:rPr>
            </w:pPr>
            <w:r>
              <w:rPr>
                <w:b/>
                <w:sz w:val="20"/>
                <w:szCs w:val="20"/>
              </w:rPr>
              <w:t>Market Managers</w:t>
            </w:r>
          </w:p>
        </w:tc>
        <w:tc>
          <w:tcPr>
            <w:tcW w:w="6938" w:type="dxa"/>
            <w:tcBorders>
              <w:top w:val="nil"/>
              <w:left w:val="nil"/>
              <w:bottom w:val="single" w:sz="12" w:space="0" w:color="000000"/>
              <w:right w:val="nil"/>
            </w:tcBorders>
          </w:tcPr>
          <w:p w14:paraId="08983ED6" w14:textId="77777777" w:rsidR="004A0E6B" w:rsidRDefault="00B82D61">
            <w:pPr>
              <w:spacing w:before="20" w:after="60" w:line="252" w:lineRule="auto"/>
              <w:ind w:left="115" w:right="60"/>
              <w:rPr>
                <w:sz w:val="20"/>
                <w:szCs w:val="20"/>
              </w:rPr>
            </w:pPr>
            <w:r>
              <w:rPr>
                <w:sz w:val="20"/>
                <w:szCs w:val="20"/>
              </w:rPr>
              <w:t xml:space="preserve">Maintain two to three approved fueling locations using the WEX app, close to the domiciled warehouse and offering drivers options. Route the fueling </w:t>
            </w:r>
            <w:proofErr w:type="gramStart"/>
            <w:r>
              <w:rPr>
                <w:sz w:val="20"/>
                <w:szCs w:val="20"/>
              </w:rPr>
              <w:t>stop</w:t>
            </w:r>
            <w:proofErr w:type="gramEnd"/>
            <w:r>
              <w:rPr>
                <w:sz w:val="20"/>
                <w:szCs w:val="20"/>
              </w:rPr>
              <w:t xml:space="preserve"> at the end of the shift. Communicate approved fueling locations to all drivers. Verify daily fuel receipts. Review weekly WEX compliance reports. Investigate and document all fueling exceptions. Conduct recurring driver PIN audits and maintain PIN accountability.</w:t>
            </w:r>
          </w:p>
        </w:tc>
      </w:tr>
    </w:tbl>
    <w:p w14:paraId="05028ABF" w14:textId="77777777" w:rsidR="004A0E6B" w:rsidRDefault="004A0E6B">
      <w:pPr>
        <w:spacing w:line="252" w:lineRule="auto"/>
        <w:ind w:left="240"/>
        <w:rPr>
          <w:sz w:val="20"/>
          <w:szCs w:val="20"/>
        </w:rPr>
      </w:pPr>
    </w:p>
    <w:p w14:paraId="4D917636" w14:textId="77777777" w:rsidR="004A0E6B" w:rsidRDefault="00B82D61">
      <w:pPr>
        <w:keepNext/>
        <w:keepLines/>
        <w:spacing w:before="360" w:after="120"/>
        <w:ind w:left="240"/>
        <w:rPr>
          <w:b/>
        </w:rPr>
      </w:pPr>
      <w:r>
        <w:rPr>
          <w:b/>
          <w:spacing w:val="-2"/>
          <w:u w:val="thick"/>
        </w:rPr>
        <w:t>Compliance</w:t>
      </w:r>
    </w:p>
    <w:p w14:paraId="6070D1A1" w14:textId="77777777" w:rsidR="004A0E6B" w:rsidRDefault="00B82D61">
      <w:pPr>
        <w:keepNext/>
        <w:keepLines/>
        <w:spacing w:before="200" w:after="80" w:line="252" w:lineRule="auto"/>
        <w:ind w:left="240" w:right="356"/>
        <w:rPr>
          <w:sz w:val="20"/>
          <w:szCs w:val="20"/>
        </w:rPr>
      </w:pPr>
      <w:r>
        <w:rPr>
          <w:b/>
          <w:sz w:val="20"/>
          <w:szCs w:val="20"/>
        </w:rPr>
        <w:t>1</w:t>
      </w:r>
      <w:proofErr w:type="gramStart"/>
      <w:r>
        <w:rPr>
          <w:b/>
          <w:sz w:val="20"/>
          <w:szCs w:val="20"/>
        </w:rPr>
        <w:t>.  Mandatory</w:t>
      </w:r>
      <w:proofErr w:type="gramEnd"/>
      <w:r>
        <w:rPr>
          <w:b/>
          <w:sz w:val="20"/>
          <w:szCs w:val="20"/>
        </w:rPr>
        <w:t xml:space="preserve"> Adherence</w:t>
      </w:r>
    </w:p>
    <w:p w14:paraId="6326E96C" w14:textId="77777777" w:rsidR="004A0E6B" w:rsidRDefault="00B82D61">
      <w:pPr>
        <w:spacing w:after="140" w:line="252" w:lineRule="auto"/>
        <w:ind w:left="240" w:right="356"/>
        <w:rPr>
          <w:sz w:val="20"/>
          <w:szCs w:val="20"/>
        </w:rPr>
      </w:pPr>
      <w:r>
        <w:rPr>
          <w:sz w:val="20"/>
          <w:szCs w:val="20"/>
        </w:rPr>
        <w:t xml:space="preserve">Compliance with the approved fueling program is mandatory for all employees operating company </w:t>
      </w:r>
      <w:proofErr w:type="gramStart"/>
      <w:r>
        <w:rPr>
          <w:sz w:val="20"/>
          <w:szCs w:val="20"/>
        </w:rPr>
        <w:t>vehicles, and</w:t>
      </w:r>
      <w:proofErr w:type="gramEnd"/>
      <w:r>
        <w:rPr>
          <w:sz w:val="20"/>
          <w:szCs w:val="20"/>
        </w:rPr>
        <w:t xml:space="preserve"> is a condition of operating PODS vehicles and equipment.</w:t>
      </w:r>
    </w:p>
    <w:p w14:paraId="66D5CF90" w14:textId="77777777" w:rsidR="004A0E6B" w:rsidRDefault="00B82D61">
      <w:pPr>
        <w:keepNext/>
        <w:keepLines/>
        <w:spacing w:before="200" w:after="80" w:line="252" w:lineRule="auto"/>
        <w:ind w:left="240" w:right="356"/>
        <w:rPr>
          <w:sz w:val="20"/>
          <w:szCs w:val="20"/>
        </w:rPr>
      </w:pPr>
      <w:r>
        <w:rPr>
          <w:b/>
          <w:sz w:val="20"/>
          <w:szCs w:val="20"/>
        </w:rPr>
        <w:t>2</w:t>
      </w:r>
      <w:proofErr w:type="gramStart"/>
      <w:r>
        <w:rPr>
          <w:b/>
          <w:sz w:val="20"/>
          <w:szCs w:val="20"/>
        </w:rPr>
        <w:t>.  Unauthorized</w:t>
      </w:r>
      <w:proofErr w:type="gramEnd"/>
      <w:r>
        <w:rPr>
          <w:b/>
          <w:sz w:val="20"/>
          <w:szCs w:val="20"/>
        </w:rPr>
        <w:t xml:space="preserve"> Fuel Purchases</w:t>
      </w:r>
    </w:p>
    <w:p w14:paraId="3388C6C4" w14:textId="77777777" w:rsidR="004A0E6B" w:rsidRDefault="00B82D61">
      <w:pPr>
        <w:spacing w:after="140" w:line="252" w:lineRule="auto"/>
        <w:ind w:left="240" w:right="356"/>
        <w:rPr>
          <w:sz w:val="20"/>
          <w:szCs w:val="20"/>
        </w:rPr>
      </w:pPr>
      <w:r>
        <w:rPr>
          <w:sz w:val="20"/>
          <w:szCs w:val="20"/>
        </w:rPr>
        <w:t>Fuel purchases at unapproved locations, and failure to follow established fueling procedures without documented management approval, are considered violations of this SOP.</w:t>
      </w:r>
    </w:p>
    <w:p w14:paraId="213E25EC" w14:textId="050BE3A3" w:rsidR="004A0E6B" w:rsidRDefault="004A0E6B">
      <w:pPr>
        <w:keepNext/>
        <w:keepLines/>
        <w:spacing w:before="200" w:after="80" w:line="252" w:lineRule="auto"/>
        <w:ind w:left="240" w:right="356"/>
        <w:rPr>
          <w:sz w:val="20"/>
          <w:szCs w:val="20"/>
        </w:rPr>
      </w:pPr>
    </w:p>
    <w:p w14:paraId="6841849B" w14:textId="4C1CB9AC" w:rsidR="004A0E6B" w:rsidRDefault="00B82D61">
      <w:pPr>
        <w:spacing w:after="140" w:line="252" w:lineRule="auto"/>
        <w:ind w:left="240" w:right="356"/>
        <w:rPr>
          <w:sz w:val="20"/>
          <w:szCs w:val="20"/>
        </w:rPr>
      </w:pPr>
      <w:r>
        <w:rPr>
          <w:sz w:val="20"/>
          <w:szCs w:val="20"/>
        </w:rPr>
        <w:t>Any deviation from this SOP is subject to immediate review and may result in corrective action in accordance with company policy</w:t>
      </w:r>
      <w:r w:rsidR="00DB676C">
        <w:rPr>
          <w:sz w:val="20"/>
          <w:szCs w:val="20"/>
        </w:rPr>
        <w:t>.</w:t>
      </w:r>
    </w:p>
    <w:p w14:paraId="34891F27" w14:textId="77777777" w:rsidR="004A0E6B" w:rsidRDefault="00B82D61">
      <w:pPr>
        <w:keepNext/>
        <w:keepLines/>
        <w:spacing w:before="360" w:after="120"/>
        <w:ind w:left="240"/>
        <w:rPr>
          <w:b/>
        </w:rPr>
      </w:pPr>
      <w:r>
        <w:rPr>
          <w:b/>
          <w:spacing w:val="-2"/>
          <w:u w:val="thick"/>
        </w:rPr>
        <w:t>Review and Revision History</w:t>
      </w:r>
    </w:p>
    <w:p w14:paraId="0B7CE3C7" w14:textId="77777777" w:rsidR="004A0E6B" w:rsidRDefault="00B82D61">
      <w:pPr>
        <w:keepNext/>
        <w:keepLines/>
        <w:spacing w:after="120" w:line="252" w:lineRule="auto"/>
        <w:ind w:left="240" w:right="356"/>
        <w:rPr>
          <w:sz w:val="20"/>
          <w:szCs w:val="20"/>
        </w:rPr>
      </w:pPr>
      <w:r>
        <w:rPr>
          <w:sz w:val="20"/>
          <w:szCs w:val="20"/>
        </w:rPr>
        <w:t>This SOP is reviewed periodically and updated as the fuel program, WEX reporting, or operational needs change.</w:t>
      </w:r>
    </w:p>
    <w:tbl>
      <w:tblPr>
        <w:tblW w:w="9838" w:type="dxa"/>
        <w:tblInd w:w="240" w:type="dxa"/>
        <w:tblLayout w:type="fixed"/>
        <w:tblCellMar>
          <w:top w:w="60" w:type="dxa"/>
          <w:left w:w="0" w:type="dxa"/>
          <w:bottom w:w="60" w:type="dxa"/>
          <w:right w:w="150" w:type="dxa"/>
        </w:tblCellMar>
        <w:tblLook w:val="00A0" w:firstRow="1" w:lastRow="0" w:firstColumn="1" w:lastColumn="0" w:noHBand="0" w:noVBand="0"/>
      </w:tblPr>
      <w:tblGrid>
        <w:gridCol w:w="2200"/>
        <w:gridCol w:w="1200"/>
        <w:gridCol w:w="4438"/>
        <w:gridCol w:w="2000"/>
      </w:tblGrid>
      <w:tr w:rsidR="004A0E6B" w14:paraId="41742360" w14:textId="77777777">
        <w:trPr>
          <w:cantSplit/>
          <w:tblHeader/>
        </w:trPr>
        <w:tc>
          <w:tcPr>
            <w:tcW w:w="2200" w:type="dxa"/>
            <w:tcBorders>
              <w:top w:val="single" w:sz="12" w:space="0" w:color="000000"/>
              <w:left w:val="nil"/>
              <w:bottom w:val="single" w:sz="6" w:space="0" w:color="000000"/>
              <w:right w:val="nil"/>
            </w:tcBorders>
          </w:tcPr>
          <w:p w14:paraId="513AFD25" w14:textId="77777777" w:rsidR="004A0E6B" w:rsidRDefault="00B82D61">
            <w:pPr>
              <w:spacing w:before="20" w:after="60" w:line="252" w:lineRule="auto"/>
              <w:ind w:left="115" w:right="60"/>
              <w:rPr>
                <w:sz w:val="20"/>
                <w:szCs w:val="20"/>
              </w:rPr>
            </w:pPr>
            <w:r>
              <w:rPr>
                <w:b/>
                <w:sz w:val="20"/>
                <w:szCs w:val="20"/>
              </w:rPr>
              <w:t>Date</w:t>
            </w:r>
          </w:p>
        </w:tc>
        <w:tc>
          <w:tcPr>
            <w:tcW w:w="1200" w:type="dxa"/>
            <w:tcBorders>
              <w:top w:val="single" w:sz="12" w:space="0" w:color="000000"/>
              <w:left w:val="nil"/>
              <w:bottom w:val="single" w:sz="6" w:space="0" w:color="000000"/>
              <w:right w:val="nil"/>
            </w:tcBorders>
          </w:tcPr>
          <w:p w14:paraId="5F0E4297" w14:textId="77777777" w:rsidR="004A0E6B" w:rsidRDefault="00B82D61">
            <w:pPr>
              <w:spacing w:before="20" w:after="60" w:line="252" w:lineRule="auto"/>
              <w:ind w:left="115" w:right="60"/>
              <w:rPr>
                <w:sz w:val="20"/>
                <w:szCs w:val="20"/>
              </w:rPr>
            </w:pPr>
            <w:r>
              <w:rPr>
                <w:b/>
                <w:sz w:val="20"/>
                <w:szCs w:val="20"/>
              </w:rPr>
              <w:t>Version</w:t>
            </w:r>
          </w:p>
        </w:tc>
        <w:tc>
          <w:tcPr>
            <w:tcW w:w="4438" w:type="dxa"/>
            <w:tcBorders>
              <w:top w:val="single" w:sz="12" w:space="0" w:color="000000"/>
              <w:left w:val="nil"/>
              <w:bottom w:val="single" w:sz="6" w:space="0" w:color="000000"/>
              <w:right w:val="nil"/>
            </w:tcBorders>
          </w:tcPr>
          <w:p w14:paraId="411D8601" w14:textId="77777777" w:rsidR="004A0E6B" w:rsidRDefault="00B82D61">
            <w:pPr>
              <w:spacing w:before="20" w:after="60" w:line="252" w:lineRule="auto"/>
              <w:ind w:left="115" w:right="60"/>
              <w:rPr>
                <w:sz w:val="20"/>
                <w:szCs w:val="20"/>
              </w:rPr>
            </w:pPr>
            <w:r>
              <w:rPr>
                <w:b/>
                <w:sz w:val="20"/>
                <w:szCs w:val="20"/>
              </w:rPr>
              <w:t>Revision Description</w:t>
            </w:r>
          </w:p>
        </w:tc>
        <w:tc>
          <w:tcPr>
            <w:tcW w:w="2000" w:type="dxa"/>
            <w:tcBorders>
              <w:top w:val="single" w:sz="12" w:space="0" w:color="000000"/>
              <w:left w:val="nil"/>
              <w:bottom w:val="single" w:sz="6" w:space="0" w:color="000000"/>
              <w:right w:val="nil"/>
            </w:tcBorders>
          </w:tcPr>
          <w:p w14:paraId="24AAA477" w14:textId="77777777" w:rsidR="004A0E6B" w:rsidRDefault="00B82D61">
            <w:pPr>
              <w:spacing w:before="20" w:after="60" w:line="252" w:lineRule="auto"/>
              <w:ind w:left="115" w:right="60"/>
              <w:rPr>
                <w:sz w:val="20"/>
                <w:szCs w:val="20"/>
              </w:rPr>
            </w:pPr>
            <w:r>
              <w:rPr>
                <w:b/>
                <w:sz w:val="20"/>
                <w:szCs w:val="20"/>
              </w:rPr>
              <w:t>Revised by</w:t>
            </w:r>
          </w:p>
        </w:tc>
      </w:tr>
      <w:tr w:rsidR="004A0E6B" w14:paraId="5E82B73E" w14:textId="77777777">
        <w:trPr>
          <w:cantSplit/>
        </w:trPr>
        <w:tc>
          <w:tcPr>
            <w:tcW w:w="2200" w:type="dxa"/>
            <w:tcBorders>
              <w:top w:val="nil"/>
              <w:left w:val="nil"/>
              <w:bottom w:val="single" w:sz="4" w:space="0" w:color="A6A6A6"/>
              <w:right w:val="nil"/>
            </w:tcBorders>
          </w:tcPr>
          <w:p w14:paraId="1F7DF1EB" w14:textId="77777777" w:rsidR="004A0E6B" w:rsidRDefault="00B82D61">
            <w:pPr>
              <w:spacing w:before="20" w:after="60" w:line="252" w:lineRule="auto"/>
              <w:ind w:left="115" w:right="60"/>
              <w:rPr>
                <w:sz w:val="20"/>
                <w:szCs w:val="20"/>
              </w:rPr>
            </w:pPr>
            <w:r>
              <w:rPr>
                <w:i/>
                <w:sz w:val="20"/>
                <w:szCs w:val="20"/>
              </w:rPr>
              <w:t>[Date]</w:t>
            </w:r>
          </w:p>
        </w:tc>
        <w:tc>
          <w:tcPr>
            <w:tcW w:w="1200" w:type="dxa"/>
            <w:tcBorders>
              <w:top w:val="nil"/>
              <w:left w:val="nil"/>
              <w:bottom w:val="single" w:sz="4" w:space="0" w:color="A6A6A6"/>
              <w:right w:val="nil"/>
            </w:tcBorders>
          </w:tcPr>
          <w:p w14:paraId="3DB68842" w14:textId="77777777" w:rsidR="004A0E6B" w:rsidRDefault="00B82D61">
            <w:pPr>
              <w:spacing w:before="20" w:after="60" w:line="252" w:lineRule="auto"/>
              <w:ind w:left="115" w:right="60"/>
              <w:rPr>
                <w:sz w:val="20"/>
                <w:szCs w:val="20"/>
              </w:rPr>
            </w:pPr>
            <w:r>
              <w:rPr>
                <w:sz w:val="20"/>
                <w:szCs w:val="20"/>
              </w:rPr>
              <w:t>1.0</w:t>
            </w:r>
          </w:p>
        </w:tc>
        <w:tc>
          <w:tcPr>
            <w:tcW w:w="4438" w:type="dxa"/>
            <w:tcBorders>
              <w:top w:val="nil"/>
              <w:left w:val="nil"/>
              <w:bottom w:val="single" w:sz="4" w:space="0" w:color="A6A6A6"/>
              <w:right w:val="nil"/>
            </w:tcBorders>
          </w:tcPr>
          <w:p w14:paraId="1E96152F" w14:textId="77777777" w:rsidR="004A0E6B" w:rsidRDefault="00B82D61">
            <w:pPr>
              <w:spacing w:before="20" w:after="60" w:line="252" w:lineRule="auto"/>
              <w:ind w:left="115" w:right="60"/>
              <w:rPr>
                <w:sz w:val="20"/>
                <w:szCs w:val="20"/>
              </w:rPr>
            </w:pPr>
            <w:r>
              <w:rPr>
                <w:sz w:val="20"/>
                <w:szCs w:val="20"/>
              </w:rPr>
              <w:t>Initial release of the field fueling program.</w:t>
            </w:r>
          </w:p>
        </w:tc>
        <w:tc>
          <w:tcPr>
            <w:tcW w:w="2000" w:type="dxa"/>
            <w:tcBorders>
              <w:top w:val="nil"/>
              <w:left w:val="nil"/>
              <w:bottom w:val="single" w:sz="4" w:space="0" w:color="A6A6A6"/>
              <w:right w:val="nil"/>
            </w:tcBorders>
          </w:tcPr>
          <w:p w14:paraId="7EB7714E" w14:textId="77777777" w:rsidR="004A0E6B" w:rsidRDefault="00B82D61">
            <w:pPr>
              <w:spacing w:before="20" w:after="60" w:line="252" w:lineRule="auto"/>
              <w:ind w:left="115" w:right="60"/>
              <w:rPr>
                <w:sz w:val="20"/>
                <w:szCs w:val="20"/>
              </w:rPr>
            </w:pPr>
            <w:r>
              <w:rPr>
                <w:i/>
                <w:sz w:val="20"/>
                <w:szCs w:val="20"/>
              </w:rPr>
              <w:t>[Name]</w:t>
            </w:r>
          </w:p>
        </w:tc>
      </w:tr>
      <w:tr w:rsidR="004A0E6B" w14:paraId="027888DD" w14:textId="77777777">
        <w:trPr>
          <w:cantSplit/>
        </w:trPr>
        <w:tc>
          <w:tcPr>
            <w:tcW w:w="2200" w:type="dxa"/>
            <w:tcBorders>
              <w:top w:val="nil"/>
              <w:left w:val="nil"/>
              <w:bottom w:val="single" w:sz="4" w:space="0" w:color="A6A6A6"/>
              <w:right w:val="nil"/>
            </w:tcBorders>
          </w:tcPr>
          <w:p w14:paraId="57BCB3BE" w14:textId="77777777" w:rsidR="004A0E6B" w:rsidRDefault="00B82D61">
            <w:pPr>
              <w:spacing w:before="20" w:after="60" w:line="252" w:lineRule="auto"/>
              <w:ind w:left="115" w:right="60"/>
              <w:rPr>
                <w:sz w:val="20"/>
                <w:szCs w:val="20"/>
              </w:rPr>
            </w:pPr>
            <w:r>
              <w:rPr>
                <w:sz w:val="20"/>
                <w:szCs w:val="20"/>
              </w:rPr>
              <w:t xml:space="preserve"> </w:t>
            </w:r>
          </w:p>
        </w:tc>
        <w:tc>
          <w:tcPr>
            <w:tcW w:w="1200" w:type="dxa"/>
            <w:tcBorders>
              <w:top w:val="nil"/>
              <w:left w:val="nil"/>
              <w:bottom w:val="single" w:sz="4" w:space="0" w:color="A6A6A6"/>
              <w:right w:val="nil"/>
            </w:tcBorders>
          </w:tcPr>
          <w:p w14:paraId="7D486147" w14:textId="77777777" w:rsidR="004A0E6B" w:rsidRDefault="00B82D61">
            <w:pPr>
              <w:spacing w:before="20" w:after="60" w:line="252" w:lineRule="auto"/>
              <w:ind w:left="115" w:right="60"/>
              <w:rPr>
                <w:sz w:val="20"/>
                <w:szCs w:val="20"/>
              </w:rPr>
            </w:pPr>
            <w:r>
              <w:rPr>
                <w:sz w:val="20"/>
                <w:szCs w:val="20"/>
              </w:rPr>
              <w:t xml:space="preserve"> </w:t>
            </w:r>
          </w:p>
        </w:tc>
        <w:tc>
          <w:tcPr>
            <w:tcW w:w="4438" w:type="dxa"/>
            <w:tcBorders>
              <w:top w:val="nil"/>
              <w:left w:val="nil"/>
              <w:bottom w:val="single" w:sz="4" w:space="0" w:color="A6A6A6"/>
              <w:right w:val="nil"/>
            </w:tcBorders>
          </w:tcPr>
          <w:p w14:paraId="5CC8D827" w14:textId="77777777" w:rsidR="004A0E6B" w:rsidRDefault="00B82D61">
            <w:pPr>
              <w:spacing w:before="20" w:after="60" w:line="252" w:lineRule="auto"/>
              <w:ind w:left="115" w:right="60"/>
              <w:rPr>
                <w:sz w:val="20"/>
                <w:szCs w:val="20"/>
              </w:rPr>
            </w:pPr>
            <w:r>
              <w:rPr>
                <w:sz w:val="20"/>
                <w:szCs w:val="20"/>
              </w:rPr>
              <w:t xml:space="preserve"> </w:t>
            </w:r>
          </w:p>
        </w:tc>
        <w:tc>
          <w:tcPr>
            <w:tcW w:w="2000" w:type="dxa"/>
            <w:tcBorders>
              <w:top w:val="nil"/>
              <w:left w:val="nil"/>
              <w:bottom w:val="single" w:sz="4" w:space="0" w:color="A6A6A6"/>
              <w:right w:val="nil"/>
            </w:tcBorders>
          </w:tcPr>
          <w:p w14:paraId="201937A5" w14:textId="77777777" w:rsidR="004A0E6B" w:rsidRDefault="00B82D61">
            <w:pPr>
              <w:spacing w:before="20" w:after="60" w:line="252" w:lineRule="auto"/>
              <w:ind w:left="115" w:right="60"/>
              <w:rPr>
                <w:sz w:val="20"/>
                <w:szCs w:val="20"/>
              </w:rPr>
            </w:pPr>
            <w:r>
              <w:rPr>
                <w:sz w:val="20"/>
                <w:szCs w:val="20"/>
              </w:rPr>
              <w:t xml:space="preserve"> </w:t>
            </w:r>
          </w:p>
        </w:tc>
      </w:tr>
      <w:tr w:rsidR="004A0E6B" w14:paraId="6AA55AFC" w14:textId="77777777">
        <w:trPr>
          <w:cantSplit/>
        </w:trPr>
        <w:tc>
          <w:tcPr>
            <w:tcW w:w="2200" w:type="dxa"/>
            <w:tcBorders>
              <w:top w:val="nil"/>
              <w:left w:val="nil"/>
              <w:bottom w:val="single" w:sz="12" w:space="0" w:color="000000"/>
              <w:right w:val="nil"/>
            </w:tcBorders>
          </w:tcPr>
          <w:p w14:paraId="65274A8B" w14:textId="77777777" w:rsidR="004A0E6B" w:rsidRDefault="00B82D61">
            <w:pPr>
              <w:spacing w:before="20" w:after="60" w:line="252" w:lineRule="auto"/>
              <w:ind w:left="115" w:right="60"/>
              <w:rPr>
                <w:sz w:val="20"/>
                <w:szCs w:val="20"/>
              </w:rPr>
            </w:pPr>
            <w:r>
              <w:rPr>
                <w:sz w:val="20"/>
                <w:szCs w:val="20"/>
              </w:rPr>
              <w:t xml:space="preserve"> </w:t>
            </w:r>
          </w:p>
        </w:tc>
        <w:tc>
          <w:tcPr>
            <w:tcW w:w="1200" w:type="dxa"/>
            <w:tcBorders>
              <w:top w:val="nil"/>
              <w:left w:val="nil"/>
              <w:bottom w:val="single" w:sz="12" w:space="0" w:color="000000"/>
              <w:right w:val="nil"/>
            </w:tcBorders>
          </w:tcPr>
          <w:p w14:paraId="2F63A28C" w14:textId="77777777" w:rsidR="004A0E6B" w:rsidRDefault="00B82D61">
            <w:pPr>
              <w:spacing w:before="20" w:after="60" w:line="252" w:lineRule="auto"/>
              <w:ind w:left="115" w:right="60"/>
              <w:rPr>
                <w:sz w:val="20"/>
                <w:szCs w:val="20"/>
              </w:rPr>
            </w:pPr>
            <w:r>
              <w:rPr>
                <w:sz w:val="20"/>
                <w:szCs w:val="20"/>
              </w:rPr>
              <w:t xml:space="preserve"> </w:t>
            </w:r>
          </w:p>
        </w:tc>
        <w:tc>
          <w:tcPr>
            <w:tcW w:w="4438" w:type="dxa"/>
            <w:tcBorders>
              <w:top w:val="nil"/>
              <w:left w:val="nil"/>
              <w:bottom w:val="single" w:sz="12" w:space="0" w:color="000000"/>
              <w:right w:val="nil"/>
            </w:tcBorders>
          </w:tcPr>
          <w:p w14:paraId="1C5F9C7E" w14:textId="77777777" w:rsidR="004A0E6B" w:rsidRDefault="00B82D61">
            <w:pPr>
              <w:spacing w:before="20" w:after="60" w:line="252" w:lineRule="auto"/>
              <w:ind w:left="115" w:right="60"/>
              <w:rPr>
                <w:sz w:val="20"/>
                <w:szCs w:val="20"/>
              </w:rPr>
            </w:pPr>
            <w:r>
              <w:rPr>
                <w:sz w:val="20"/>
                <w:szCs w:val="20"/>
              </w:rPr>
              <w:t xml:space="preserve"> </w:t>
            </w:r>
          </w:p>
        </w:tc>
        <w:tc>
          <w:tcPr>
            <w:tcW w:w="2000" w:type="dxa"/>
            <w:tcBorders>
              <w:top w:val="nil"/>
              <w:left w:val="nil"/>
              <w:bottom w:val="single" w:sz="12" w:space="0" w:color="000000"/>
              <w:right w:val="nil"/>
            </w:tcBorders>
          </w:tcPr>
          <w:p w14:paraId="1B035A21" w14:textId="77777777" w:rsidR="004A0E6B" w:rsidRDefault="00B82D61">
            <w:pPr>
              <w:spacing w:before="20" w:after="60" w:line="252" w:lineRule="auto"/>
              <w:ind w:left="115" w:right="60"/>
              <w:rPr>
                <w:sz w:val="20"/>
                <w:szCs w:val="20"/>
              </w:rPr>
            </w:pPr>
            <w:r>
              <w:rPr>
                <w:sz w:val="20"/>
                <w:szCs w:val="20"/>
              </w:rPr>
              <w:t xml:space="preserve"> </w:t>
            </w:r>
          </w:p>
        </w:tc>
      </w:tr>
    </w:tbl>
    <w:p w14:paraId="64A05BD2" w14:textId="77777777" w:rsidR="004A0E6B" w:rsidRDefault="004A0E6B">
      <w:pPr>
        <w:rPr>
          <w:sz w:val="2"/>
        </w:rPr>
        <w:sectPr w:rsidR="004A0E6B">
          <w:footerReference w:type="default" r:id="rId8"/>
          <w:pgSz w:w="12240" w:h="15840"/>
          <w:pgMar w:top="1360" w:right="1080" w:bottom="1000" w:left="1080" w:header="720" w:footer="720" w:gutter="0"/>
          <w:cols w:space="720"/>
        </w:sectPr>
      </w:pPr>
    </w:p>
    <w:p w14:paraId="76EF852A" w14:textId="77777777" w:rsidR="00B82D61" w:rsidRDefault="00B82D61"/>
    <w:sectPr w:rsidR="00B82D6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FC5561" w14:textId="77777777" w:rsidR="00DA6945" w:rsidRDefault="00DA6945">
      <w:r>
        <w:separator/>
      </w:r>
    </w:p>
  </w:endnote>
  <w:endnote w:type="continuationSeparator" w:id="0">
    <w:p w14:paraId="71776F48" w14:textId="77777777" w:rsidR="00DA6945" w:rsidRDefault="00DA69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9D908" w14:textId="77777777" w:rsidR="004A0E6B" w:rsidRDefault="00B82D61">
    <w:pPr>
      <w:pBdr>
        <w:top w:val="single" w:sz="4" w:space="4" w:color="A6A6A6"/>
      </w:pBdr>
      <w:tabs>
        <w:tab w:val="right" w:pos="10080"/>
      </w:tabs>
      <w:rPr>
        <w:sz w:val="14"/>
      </w:rPr>
    </w:pPr>
    <w:r>
      <w:rPr>
        <w:color w:val="595959"/>
        <w:sz w:val="14"/>
      </w:rPr>
      <w:t>PODS Enterprises, LLC    |    Internal Use Only    |    SOP: Fuel Program    |    v1.0</w:t>
    </w:r>
    <w:r>
      <w:rPr>
        <w:color w:val="595959"/>
        <w:sz w:val="14"/>
      </w:rPr>
      <w:tab/>
      <w:t xml:space="preserve">Page </w:t>
    </w:r>
    <w:r>
      <w:fldChar w:fldCharType="begin"/>
    </w:r>
    <w:r>
      <w:instrText xml:space="preserve"> PAGE </w:instrText>
    </w:r>
    <w:r>
      <w:fldChar w:fldCharType="separate"/>
    </w:r>
    <w:r>
      <w:rPr>
        <w:color w:val="595959"/>
        <w:sz w:val="14"/>
      </w:rPr>
      <w:t>1</w:t>
    </w:r>
    <w:r>
      <w:fldChar w:fldCharType="end"/>
    </w:r>
    <w:r>
      <w:rPr>
        <w:color w:val="595959"/>
        <w:sz w:val="14"/>
      </w:rPr>
      <w:t xml:space="preserve"> of </w:t>
    </w:r>
    <w:fldSimple w:instr=" NUMPAGES ">
      <w:r>
        <w:rPr>
          <w:color w:val="595959"/>
          <w:sz w:val="14"/>
        </w:rPr>
        <w:t>1</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831EC8" w14:textId="77777777" w:rsidR="00DA6945" w:rsidRDefault="00DA6945">
      <w:r>
        <w:separator/>
      </w:r>
    </w:p>
  </w:footnote>
  <w:footnote w:type="continuationSeparator" w:id="0">
    <w:p w14:paraId="3B5A2D27" w14:textId="77777777" w:rsidR="00DA6945" w:rsidRDefault="00DA694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74614FE"/>
    <w:multiLevelType w:val="hybridMultilevel"/>
    <w:tmpl w:val="82962A62"/>
    <w:lvl w:ilvl="0" w:tplc="7BDC30DE">
      <w:numFmt w:val="bullet"/>
      <w:lvlText w:val=""/>
      <w:lvlJc w:val="left"/>
      <w:pPr>
        <w:ind w:left="721" w:hanging="361"/>
      </w:pPr>
      <w:rPr>
        <w:rFonts w:ascii="Symbol" w:eastAsia="Symbol" w:hAnsi="Symbol" w:cs="Symbol" w:hint="default"/>
        <w:b w:val="0"/>
        <w:bCs w:val="0"/>
        <w:i w:val="0"/>
        <w:iCs w:val="0"/>
        <w:spacing w:val="0"/>
        <w:w w:val="100"/>
        <w:sz w:val="20"/>
        <w:szCs w:val="20"/>
        <w:lang w:val="en-US" w:eastAsia="en-US" w:bidi="ar-SA"/>
      </w:rPr>
    </w:lvl>
    <w:lvl w:ilvl="1" w:tplc="1558126C">
      <w:numFmt w:val="bullet"/>
      <w:lvlText w:val="•"/>
      <w:lvlJc w:val="left"/>
      <w:pPr>
        <w:ind w:left="1656" w:hanging="361"/>
      </w:pPr>
      <w:rPr>
        <w:rFonts w:hint="default"/>
        <w:lang w:val="en-US" w:eastAsia="en-US" w:bidi="ar-SA"/>
      </w:rPr>
    </w:lvl>
    <w:lvl w:ilvl="2" w:tplc="010EF672">
      <w:numFmt w:val="bullet"/>
      <w:lvlText w:val="•"/>
      <w:lvlJc w:val="left"/>
      <w:pPr>
        <w:ind w:left="2592" w:hanging="361"/>
      </w:pPr>
      <w:rPr>
        <w:rFonts w:hint="default"/>
        <w:lang w:val="en-US" w:eastAsia="en-US" w:bidi="ar-SA"/>
      </w:rPr>
    </w:lvl>
    <w:lvl w:ilvl="3" w:tplc="0096D2A0">
      <w:numFmt w:val="bullet"/>
      <w:lvlText w:val="•"/>
      <w:lvlJc w:val="left"/>
      <w:pPr>
        <w:ind w:left="3528" w:hanging="361"/>
      </w:pPr>
      <w:rPr>
        <w:rFonts w:hint="default"/>
        <w:lang w:val="en-US" w:eastAsia="en-US" w:bidi="ar-SA"/>
      </w:rPr>
    </w:lvl>
    <w:lvl w:ilvl="4" w:tplc="D45AFBD2">
      <w:numFmt w:val="bullet"/>
      <w:lvlText w:val="•"/>
      <w:lvlJc w:val="left"/>
      <w:pPr>
        <w:ind w:left="4464" w:hanging="361"/>
      </w:pPr>
      <w:rPr>
        <w:rFonts w:hint="default"/>
        <w:lang w:val="en-US" w:eastAsia="en-US" w:bidi="ar-SA"/>
      </w:rPr>
    </w:lvl>
    <w:lvl w:ilvl="5" w:tplc="49825D9C">
      <w:numFmt w:val="bullet"/>
      <w:lvlText w:val="•"/>
      <w:lvlJc w:val="left"/>
      <w:pPr>
        <w:ind w:left="5400" w:hanging="361"/>
      </w:pPr>
      <w:rPr>
        <w:rFonts w:hint="default"/>
        <w:lang w:val="en-US" w:eastAsia="en-US" w:bidi="ar-SA"/>
      </w:rPr>
    </w:lvl>
    <w:lvl w:ilvl="6" w:tplc="9D926694">
      <w:numFmt w:val="bullet"/>
      <w:lvlText w:val="•"/>
      <w:lvlJc w:val="left"/>
      <w:pPr>
        <w:ind w:left="6336" w:hanging="361"/>
      </w:pPr>
      <w:rPr>
        <w:rFonts w:hint="default"/>
        <w:lang w:val="en-US" w:eastAsia="en-US" w:bidi="ar-SA"/>
      </w:rPr>
    </w:lvl>
    <w:lvl w:ilvl="7" w:tplc="C0E807F2">
      <w:numFmt w:val="bullet"/>
      <w:lvlText w:val="•"/>
      <w:lvlJc w:val="left"/>
      <w:pPr>
        <w:ind w:left="7272" w:hanging="361"/>
      </w:pPr>
      <w:rPr>
        <w:rFonts w:hint="default"/>
        <w:lang w:val="en-US" w:eastAsia="en-US" w:bidi="ar-SA"/>
      </w:rPr>
    </w:lvl>
    <w:lvl w:ilvl="8" w:tplc="1FBE31CE">
      <w:numFmt w:val="bullet"/>
      <w:lvlText w:val="•"/>
      <w:lvlJc w:val="left"/>
      <w:pPr>
        <w:ind w:left="8208" w:hanging="361"/>
      </w:pPr>
      <w:rPr>
        <w:rFonts w:hint="default"/>
        <w:lang w:val="en-US" w:eastAsia="en-US" w:bidi="ar-SA"/>
      </w:rPr>
    </w:lvl>
  </w:abstractNum>
  <w:num w:numId="1" w16cid:durableId="19172036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2B4A"/>
    <w:rsid w:val="000A386C"/>
    <w:rsid w:val="004A0E6B"/>
    <w:rsid w:val="00572F8A"/>
    <w:rsid w:val="00662B4A"/>
    <w:rsid w:val="0082304D"/>
    <w:rsid w:val="008A5C51"/>
    <w:rsid w:val="008D5456"/>
    <w:rsid w:val="00B82D61"/>
    <w:rsid w:val="00DA6945"/>
    <w:rsid w:val="00DB676C"/>
    <w:rsid w:val="00DF0079"/>
    <w:rsid w:val="055B33F8"/>
    <w:rsid w:val="05EA022F"/>
    <w:rsid w:val="09A6ED2B"/>
    <w:rsid w:val="0C813DC2"/>
    <w:rsid w:val="12F10ED5"/>
    <w:rsid w:val="21379B00"/>
    <w:rsid w:val="309F8007"/>
    <w:rsid w:val="329CA47C"/>
    <w:rsid w:val="39633FC2"/>
    <w:rsid w:val="3DCF6259"/>
    <w:rsid w:val="40884C54"/>
    <w:rsid w:val="477D16CC"/>
    <w:rsid w:val="4BA5FF3D"/>
    <w:rsid w:val="67C15B0D"/>
    <w:rsid w:val="68317CA2"/>
    <w:rsid w:val="6C6BD5FC"/>
    <w:rsid w:val="7172EC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AF3D82"/>
  <w15:docId w15:val="{88B7DADF-18CA-4DCB-873C-F80E1AA80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ahoma" w:eastAsia="Tahoma" w:hAnsi="Tahoma" w:cs="Tahom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spacing w:before="83"/>
      <w:ind w:left="721" w:hanging="361"/>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884</Words>
  <Characters>5042</Characters>
  <Application>Microsoft Office Word</Application>
  <DocSecurity>0</DocSecurity>
  <Lines>42</Lines>
  <Paragraphs>11</Paragraphs>
  <ScaleCrop>false</ScaleCrop>
  <Company>PODS Enterprises, LLC</Company>
  <LinksUpToDate>false</LinksUpToDate>
  <CharactersWithSpaces>5915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Pets in the Workplace Policy</dc:title>
  <dc:creator>Steve Hakin</dc:creator>
  <cp:lastModifiedBy>Brett Schnitzius</cp:lastModifiedBy>
  <cp:revision>2</cp:revision>
  <dcterms:created xsi:type="dcterms:W3CDTF">2026-08-07T20:12:00Z</dcterms:created>
  <dcterms:modified xsi:type="dcterms:W3CDTF">2026-08-07T20:12:00Z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2024-06-05T00:00:00Z</vt:filetime>
  </property>
  <property fmtid="{D5CDD505-2E9C-101B-9397-08002B2CF9AE}" pid="3" name="Creator">
    <vt:lpwstr>Microsoft Word</vt:lpwstr>
  </property>
  <property fmtid="{D5CDD505-2E9C-101B-9397-08002B2CF9AE}" pid="4" name="LastSaved">
    <vt:filetime>2026-05-11T00:00:00Z</vt:filetime>
  </property>
</Properties>
</file>