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4CD7D" w14:textId="77777777" w:rsidR="008A281D" w:rsidRPr="001C016A" w:rsidRDefault="008A281D">
      <w:pPr>
        <w:rPr>
          <w:rFonts w:ascii="Tahoma" w:hAnsi="Tahoma" w:cs="Tahoma"/>
          <w:sz w:val="20"/>
          <w:szCs w:val="20"/>
        </w:rPr>
      </w:pPr>
    </w:p>
    <w:tbl>
      <w:tblPr>
        <w:tblpPr w:leftFromText="180" w:rightFromText="180" w:vertAnchor="page" w:horzAnchor="margin" w:tblpY="1921"/>
        <w:tblW w:w="9291" w:type="dxa"/>
        <w:tblLayout w:type="fixed"/>
        <w:tblLook w:val="0000" w:firstRow="0" w:lastRow="0" w:firstColumn="0" w:lastColumn="0" w:noHBand="0" w:noVBand="0"/>
      </w:tblPr>
      <w:tblGrid>
        <w:gridCol w:w="4770"/>
        <w:gridCol w:w="2430"/>
        <w:gridCol w:w="1855"/>
        <w:gridCol w:w="236"/>
      </w:tblGrid>
      <w:tr w:rsidR="00B27244" w:rsidRPr="001C016A" w14:paraId="43F533EC" w14:textId="77777777" w:rsidTr="00A51295">
        <w:trPr>
          <w:cantSplit/>
          <w:trHeight w:val="420"/>
        </w:trPr>
        <w:tc>
          <w:tcPr>
            <w:tcW w:w="9291" w:type="dxa"/>
            <w:gridSpan w:val="4"/>
            <w:tcBorders>
              <w:top w:val="single" w:sz="12"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8796"/>
            </w:tblGrid>
            <w:tr w:rsidR="00EA1CFA" w14:paraId="3188D95E" w14:textId="77777777">
              <w:trPr>
                <w:trHeight w:val="128"/>
              </w:trPr>
              <w:tc>
                <w:tcPr>
                  <w:tcW w:w="8796" w:type="dxa"/>
                </w:tcPr>
                <w:p w14:paraId="4ABC36A3" w14:textId="7F4248E3" w:rsidR="00324174" w:rsidRPr="00324174" w:rsidRDefault="00A51295" w:rsidP="0013582E">
                  <w:pPr>
                    <w:pStyle w:val="Default"/>
                    <w:framePr w:hSpace="180" w:wrap="around" w:vAnchor="page" w:hAnchor="margin" w:y="1921"/>
                    <w:rPr>
                      <w:b/>
                      <w:sz w:val="20"/>
                      <w:szCs w:val="20"/>
                    </w:rPr>
                  </w:pPr>
                  <w:r>
                    <w:rPr>
                      <w:b/>
                      <w:sz w:val="20"/>
                      <w:szCs w:val="20"/>
                    </w:rPr>
                    <w:t>SOP</w:t>
                  </w:r>
                  <w:r w:rsidR="00281F73">
                    <w:rPr>
                      <w:b/>
                      <w:sz w:val="20"/>
                      <w:szCs w:val="20"/>
                    </w:rPr>
                    <w:t xml:space="preserve"> Name: </w:t>
                  </w:r>
                  <w:r w:rsidR="00161E3C">
                    <w:rPr>
                      <w:b/>
                      <w:sz w:val="20"/>
                      <w:szCs w:val="20"/>
                    </w:rPr>
                    <w:t>Unevenly Loaded Containers _ Blue Magnet</w:t>
                  </w:r>
                </w:p>
              </w:tc>
            </w:tr>
          </w:tbl>
          <w:p w14:paraId="6A07AFEE" w14:textId="77777777" w:rsidR="00B27244" w:rsidRPr="00B27244" w:rsidRDefault="00B27244" w:rsidP="00AD353F">
            <w:pPr>
              <w:pStyle w:val="Smalltableheading"/>
              <w:rPr>
                <w:rFonts w:ascii="Tahoma" w:hAnsi="Tahoma" w:cs="Tahoma"/>
                <w:noProof w:val="0"/>
                <w:sz w:val="20"/>
              </w:rPr>
            </w:pPr>
          </w:p>
        </w:tc>
      </w:tr>
      <w:tr w:rsidR="008A281D" w:rsidRPr="001C016A" w14:paraId="304CE98D" w14:textId="77777777" w:rsidTr="00A51295">
        <w:trPr>
          <w:cantSplit/>
          <w:trHeight w:val="68"/>
        </w:trPr>
        <w:tc>
          <w:tcPr>
            <w:tcW w:w="9055" w:type="dxa"/>
            <w:gridSpan w:val="3"/>
          </w:tcPr>
          <w:tbl>
            <w:tblPr>
              <w:tblW w:w="8796" w:type="dxa"/>
              <w:tblBorders>
                <w:top w:val="nil"/>
                <w:left w:val="nil"/>
                <w:bottom w:val="nil"/>
                <w:right w:val="nil"/>
              </w:tblBorders>
              <w:tblLayout w:type="fixed"/>
              <w:tblLook w:val="0000" w:firstRow="0" w:lastRow="0" w:firstColumn="0" w:lastColumn="0" w:noHBand="0" w:noVBand="0"/>
            </w:tblPr>
            <w:tblGrid>
              <w:gridCol w:w="8796"/>
            </w:tblGrid>
            <w:tr w:rsidR="00EA1CFA" w14:paraId="13FCB391" w14:textId="77777777" w:rsidTr="00324174">
              <w:trPr>
                <w:trHeight w:val="267"/>
              </w:trPr>
              <w:tc>
                <w:tcPr>
                  <w:tcW w:w="8796" w:type="dxa"/>
                </w:tcPr>
                <w:p w14:paraId="30D5C53E" w14:textId="293F15B7" w:rsidR="00EA1CFA" w:rsidRPr="00324174" w:rsidRDefault="00A51295" w:rsidP="00E13B3F">
                  <w:pPr>
                    <w:pStyle w:val="Default"/>
                    <w:framePr w:hSpace="180" w:wrap="around" w:vAnchor="page" w:hAnchor="margin" w:y="1921"/>
                    <w:rPr>
                      <w:rFonts w:ascii="Times New Roman" w:hAnsi="Times New Roman" w:cs="Times New Roman"/>
                    </w:rPr>
                  </w:pPr>
                  <w:r>
                    <w:rPr>
                      <w:b/>
                      <w:sz w:val="20"/>
                    </w:rPr>
                    <w:t>SOP</w:t>
                  </w:r>
                  <w:r w:rsidR="00B27244">
                    <w:rPr>
                      <w:b/>
                      <w:sz w:val="20"/>
                    </w:rPr>
                    <w:t xml:space="preserve"> Applies to</w:t>
                  </w:r>
                  <w:r w:rsidR="00B27244" w:rsidRPr="00324174">
                    <w:rPr>
                      <w:b/>
                      <w:sz w:val="20"/>
                      <w:szCs w:val="20"/>
                    </w:rPr>
                    <w:t>:</w:t>
                  </w:r>
                  <w:r w:rsidR="00324174">
                    <w:rPr>
                      <w:b/>
                      <w:sz w:val="20"/>
                      <w:szCs w:val="20"/>
                    </w:rPr>
                    <w:t xml:space="preserve"> </w:t>
                  </w:r>
                  <w:r w:rsidR="00E13B3F">
                    <w:rPr>
                      <w:b/>
                      <w:sz w:val="20"/>
                      <w:szCs w:val="20"/>
                    </w:rPr>
                    <w:t>Corporate Operations, Fran</w:t>
                  </w:r>
                  <w:r w:rsidR="00161E3C">
                    <w:rPr>
                      <w:b/>
                      <w:sz w:val="20"/>
                      <w:szCs w:val="20"/>
                    </w:rPr>
                    <w:t>chise Operations, Logistics</w:t>
                  </w:r>
                </w:p>
              </w:tc>
            </w:tr>
          </w:tbl>
          <w:p w14:paraId="6081858F" w14:textId="77777777" w:rsidR="00C9148D" w:rsidRPr="001C016A" w:rsidRDefault="00C9148D" w:rsidP="00AD353F">
            <w:pPr>
              <w:pStyle w:val="Client"/>
              <w:rPr>
                <w:rFonts w:ascii="Tahoma" w:hAnsi="Tahoma" w:cs="Tahoma"/>
                <w:b/>
                <w:noProof w:val="0"/>
                <w:sz w:val="20"/>
              </w:rPr>
            </w:pPr>
          </w:p>
        </w:tc>
        <w:tc>
          <w:tcPr>
            <w:tcW w:w="236" w:type="dxa"/>
          </w:tcPr>
          <w:p w14:paraId="63EDAE84" w14:textId="77777777" w:rsidR="00B27244" w:rsidRPr="001C016A" w:rsidRDefault="00B27244" w:rsidP="00874175">
            <w:pPr>
              <w:pStyle w:val="Periodend"/>
              <w:rPr>
                <w:rFonts w:ascii="Tahoma" w:hAnsi="Tahoma" w:cs="Tahoma"/>
                <w:b/>
                <w:noProof w:val="0"/>
                <w:sz w:val="20"/>
              </w:rPr>
            </w:pPr>
          </w:p>
        </w:tc>
      </w:tr>
      <w:tr w:rsidR="0025434F" w:rsidRPr="001C016A" w14:paraId="03AA8AE2" w14:textId="77777777" w:rsidTr="00A51295">
        <w:trPr>
          <w:cantSplit/>
        </w:trPr>
        <w:tc>
          <w:tcPr>
            <w:tcW w:w="4770" w:type="dxa"/>
            <w:tcBorders>
              <w:top w:val="single" w:sz="12" w:space="0" w:color="auto"/>
            </w:tcBorders>
          </w:tcPr>
          <w:p w14:paraId="11A899C5" w14:textId="77777777" w:rsidR="0025434F" w:rsidRPr="001C016A" w:rsidRDefault="0025434F" w:rsidP="0025434F">
            <w:pPr>
              <w:pStyle w:val="Smalltableheading"/>
              <w:rPr>
                <w:rFonts w:ascii="Tahoma" w:hAnsi="Tahoma" w:cs="Tahoma"/>
                <w:noProof w:val="0"/>
                <w:sz w:val="20"/>
              </w:rPr>
            </w:pPr>
            <w:r w:rsidRPr="001C016A">
              <w:rPr>
                <w:rFonts w:ascii="Tahoma" w:hAnsi="Tahoma" w:cs="Tahoma"/>
                <w:noProof w:val="0"/>
                <w:sz w:val="20"/>
              </w:rPr>
              <w:t>Prepared by</w:t>
            </w:r>
          </w:p>
        </w:tc>
        <w:tc>
          <w:tcPr>
            <w:tcW w:w="2430" w:type="dxa"/>
            <w:tcBorders>
              <w:top w:val="single" w:sz="12" w:space="0" w:color="auto"/>
            </w:tcBorders>
          </w:tcPr>
          <w:p w14:paraId="0C1FE25A" w14:textId="77777777" w:rsidR="0025434F" w:rsidRPr="001C016A" w:rsidRDefault="0025434F" w:rsidP="0025434F">
            <w:pPr>
              <w:pStyle w:val="Smalltableheading"/>
              <w:rPr>
                <w:rFonts w:ascii="Tahoma" w:hAnsi="Tahoma" w:cs="Tahoma"/>
                <w:noProof w:val="0"/>
                <w:sz w:val="20"/>
              </w:rPr>
            </w:pPr>
          </w:p>
        </w:tc>
        <w:tc>
          <w:tcPr>
            <w:tcW w:w="2088" w:type="dxa"/>
            <w:gridSpan w:val="2"/>
            <w:tcBorders>
              <w:top w:val="single" w:sz="12" w:space="0" w:color="auto"/>
            </w:tcBorders>
          </w:tcPr>
          <w:p w14:paraId="3E3B4A9F" w14:textId="77777777" w:rsidR="0025434F" w:rsidRPr="001C016A" w:rsidRDefault="0025434F" w:rsidP="0025434F">
            <w:pPr>
              <w:pStyle w:val="Smalltableheading"/>
              <w:rPr>
                <w:rFonts w:ascii="Tahoma" w:hAnsi="Tahoma" w:cs="Tahoma"/>
                <w:noProof w:val="0"/>
                <w:sz w:val="20"/>
              </w:rPr>
            </w:pPr>
            <w:r>
              <w:rPr>
                <w:rFonts w:ascii="Tahoma" w:hAnsi="Tahoma" w:cs="Tahoma"/>
                <w:noProof w:val="0"/>
                <w:sz w:val="20"/>
              </w:rPr>
              <w:t xml:space="preserve">       Effective </w:t>
            </w:r>
            <w:r w:rsidRPr="001C016A">
              <w:rPr>
                <w:rFonts w:ascii="Tahoma" w:hAnsi="Tahoma" w:cs="Tahoma"/>
                <w:noProof w:val="0"/>
                <w:sz w:val="20"/>
              </w:rPr>
              <w:t>Date</w:t>
            </w:r>
          </w:p>
        </w:tc>
      </w:tr>
      <w:tr w:rsidR="0025434F" w:rsidRPr="001C016A" w14:paraId="4D05812D" w14:textId="77777777" w:rsidTr="00A51295">
        <w:trPr>
          <w:cantSplit/>
        </w:trPr>
        <w:tc>
          <w:tcPr>
            <w:tcW w:w="4770" w:type="dxa"/>
            <w:tcBorders>
              <w:bottom w:val="single" w:sz="12" w:space="0" w:color="auto"/>
            </w:tcBorders>
          </w:tcPr>
          <w:p w14:paraId="409EC0C4" w14:textId="39C8C797" w:rsidR="0025434F" w:rsidRPr="001C016A" w:rsidRDefault="00A51295" w:rsidP="00A51295">
            <w:pPr>
              <w:pStyle w:val="Preparedby"/>
              <w:ind w:right="-975"/>
              <w:rPr>
                <w:rFonts w:ascii="Tahoma" w:hAnsi="Tahoma" w:cs="Tahoma"/>
                <w:noProof w:val="0"/>
                <w:sz w:val="20"/>
              </w:rPr>
            </w:pPr>
            <w:bookmarkStart w:id="0" w:name="Prepared_By" w:colFirst="0" w:colLast="0"/>
            <w:bookmarkStart w:id="1" w:name="Date" w:colFirst="1" w:colLast="1"/>
            <w:r>
              <w:rPr>
                <w:rFonts w:ascii="Tahoma" w:hAnsi="Tahoma" w:cs="Tahoma"/>
                <w:noProof w:val="0"/>
                <w:sz w:val="20"/>
              </w:rPr>
              <w:t>One Network Asset Management Task Force</w:t>
            </w:r>
          </w:p>
        </w:tc>
        <w:tc>
          <w:tcPr>
            <w:tcW w:w="2430" w:type="dxa"/>
            <w:tcBorders>
              <w:bottom w:val="single" w:sz="12" w:space="0" w:color="auto"/>
            </w:tcBorders>
          </w:tcPr>
          <w:p w14:paraId="2555EFAE" w14:textId="77777777" w:rsidR="0025434F" w:rsidRPr="001C016A" w:rsidRDefault="0025434F" w:rsidP="00A51295">
            <w:pPr>
              <w:pStyle w:val="Datecreated"/>
              <w:ind w:left="1200"/>
              <w:rPr>
                <w:rFonts w:ascii="Tahoma" w:hAnsi="Tahoma" w:cs="Tahoma"/>
                <w:noProof w:val="0"/>
                <w:sz w:val="20"/>
              </w:rPr>
            </w:pPr>
          </w:p>
        </w:tc>
        <w:tc>
          <w:tcPr>
            <w:tcW w:w="2088" w:type="dxa"/>
            <w:gridSpan w:val="2"/>
            <w:tcBorders>
              <w:bottom w:val="single" w:sz="12" w:space="0" w:color="auto"/>
            </w:tcBorders>
          </w:tcPr>
          <w:p w14:paraId="6CD89CD5" w14:textId="2ABB54FF" w:rsidR="008000F2" w:rsidRPr="001C016A" w:rsidRDefault="00161E3C" w:rsidP="00281F73">
            <w:pPr>
              <w:pStyle w:val="Datecreated"/>
              <w:jc w:val="center"/>
              <w:rPr>
                <w:rFonts w:ascii="Tahoma" w:hAnsi="Tahoma" w:cs="Tahoma"/>
                <w:noProof w:val="0"/>
                <w:sz w:val="20"/>
              </w:rPr>
            </w:pPr>
            <w:r>
              <w:rPr>
                <w:rFonts w:ascii="Tahoma" w:hAnsi="Tahoma" w:cs="Tahoma"/>
                <w:noProof w:val="0"/>
                <w:sz w:val="20"/>
              </w:rPr>
              <w:t xml:space="preserve">               5/11</w:t>
            </w:r>
            <w:r w:rsidR="00E13B3F">
              <w:rPr>
                <w:rFonts w:ascii="Tahoma" w:hAnsi="Tahoma" w:cs="Tahoma"/>
                <w:noProof w:val="0"/>
                <w:sz w:val="20"/>
              </w:rPr>
              <w:t>/2020</w:t>
            </w:r>
          </w:p>
        </w:tc>
      </w:tr>
      <w:bookmarkEnd w:id="0"/>
      <w:bookmarkEnd w:id="1"/>
    </w:tbl>
    <w:p w14:paraId="1D788CD9" w14:textId="77777777" w:rsidR="00281F73" w:rsidRDefault="00281F73" w:rsidP="00281F73">
      <w:pPr>
        <w:rPr>
          <w:rFonts w:asciiTheme="minorHAnsi" w:hAnsiTheme="minorHAnsi" w:cstheme="minorHAnsi"/>
          <w:sz w:val="20"/>
          <w:szCs w:val="20"/>
        </w:rPr>
      </w:pPr>
    </w:p>
    <w:p w14:paraId="1F2F238D" w14:textId="19753C77" w:rsidR="00E13B3F" w:rsidRPr="00161E3C" w:rsidRDefault="00A51295" w:rsidP="00191CD2">
      <w:pPr>
        <w:spacing w:after="120"/>
        <w:rPr>
          <w:rFonts w:ascii="Tahoma" w:hAnsi="Tahoma" w:cs="Tahoma"/>
          <w:b/>
          <w:sz w:val="20"/>
          <w:szCs w:val="20"/>
          <w:u w:val="single"/>
        </w:rPr>
      </w:pPr>
      <w:r w:rsidRPr="00161E3C">
        <w:rPr>
          <w:rFonts w:ascii="Tahoma" w:hAnsi="Tahoma" w:cs="Tahoma"/>
          <w:b/>
          <w:sz w:val="20"/>
          <w:szCs w:val="20"/>
          <w:u w:val="single"/>
        </w:rPr>
        <w:t>OVERVIEW:</w:t>
      </w:r>
    </w:p>
    <w:p w14:paraId="5885623D"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 xml:space="preserve">To enhance the safety of forklift operation, it is vital that unevenly loaded containers are properly identified and handled at all storage and transportation facilities.  In such cases, where one side of the container is significantly heavier than the other, there are considerable safety risks when containers are carried by forklifts.  If not handled appropriately, the imbalance in weight distribution can cause containers to fall from the forklifts.  </w:t>
      </w:r>
    </w:p>
    <w:p w14:paraId="10169E26"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Such mishandling creates the potential for:</w:t>
      </w:r>
    </w:p>
    <w:p w14:paraId="4EBDBF11" w14:textId="77777777" w:rsidR="00161E3C" w:rsidRPr="00161E3C" w:rsidRDefault="00161E3C" w:rsidP="00191CD2">
      <w:pPr>
        <w:pStyle w:val="ListParagraph"/>
        <w:numPr>
          <w:ilvl w:val="0"/>
          <w:numId w:val="30"/>
        </w:numPr>
        <w:spacing w:after="120"/>
        <w:rPr>
          <w:rFonts w:ascii="Tahoma" w:hAnsi="Tahoma" w:cs="Tahoma"/>
          <w:sz w:val="20"/>
          <w:szCs w:val="20"/>
        </w:rPr>
      </w:pPr>
      <w:r w:rsidRPr="00161E3C">
        <w:rPr>
          <w:rFonts w:ascii="Tahoma" w:hAnsi="Tahoma" w:cs="Tahoma"/>
          <w:sz w:val="20"/>
          <w:szCs w:val="20"/>
        </w:rPr>
        <w:t xml:space="preserve">Severe and possibly fatal bodily injury  </w:t>
      </w:r>
    </w:p>
    <w:p w14:paraId="6057CFE8" w14:textId="77777777" w:rsidR="00161E3C" w:rsidRPr="00161E3C" w:rsidRDefault="00161E3C" w:rsidP="00191CD2">
      <w:pPr>
        <w:pStyle w:val="ListParagraph"/>
        <w:numPr>
          <w:ilvl w:val="0"/>
          <w:numId w:val="30"/>
        </w:numPr>
        <w:spacing w:after="120"/>
        <w:rPr>
          <w:rFonts w:ascii="Tahoma" w:hAnsi="Tahoma" w:cs="Tahoma"/>
          <w:sz w:val="20"/>
          <w:szCs w:val="20"/>
        </w:rPr>
      </w:pPr>
      <w:r w:rsidRPr="00161E3C">
        <w:rPr>
          <w:rFonts w:ascii="Tahoma" w:hAnsi="Tahoma" w:cs="Tahoma"/>
          <w:sz w:val="20"/>
          <w:szCs w:val="20"/>
        </w:rPr>
        <w:t>Damage to the customer contents</w:t>
      </w:r>
    </w:p>
    <w:p w14:paraId="23CFE43B" w14:textId="77777777" w:rsidR="00161E3C" w:rsidRPr="00161E3C" w:rsidRDefault="00161E3C" w:rsidP="00191CD2">
      <w:pPr>
        <w:pStyle w:val="ListParagraph"/>
        <w:numPr>
          <w:ilvl w:val="0"/>
          <w:numId w:val="30"/>
        </w:numPr>
        <w:spacing w:after="120"/>
        <w:rPr>
          <w:rFonts w:ascii="Tahoma" w:hAnsi="Tahoma" w:cs="Tahoma"/>
          <w:sz w:val="20"/>
          <w:szCs w:val="20"/>
        </w:rPr>
      </w:pPr>
      <w:r w:rsidRPr="00161E3C">
        <w:rPr>
          <w:rFonts w:ascii="Tahoma" w:hAnsi="Tahoma" w:cs="Tahoma"/>
          <w:sz w:val="20"/>
          <w:szCs w:val="20"/>
        </w:rPr>
        <w:t xml:space="preserve">Damage to PODS containers </w:t>
      </w:r>
    </w:p>
    <w:p w14:paraId="797362F4" w14:textId="77777777" w:rsidR="00161E3C" w:rsidRPr="00161E3C" w:rsidRDefault="00161E3C" w:rsidP="00191CD2">
      <w:pPr>
        <w:pStyle w:val="ListParagraph"/>
        <w:numPr>
          <w:ilvl w:val="0"/>
          <w:numId w:val="30"/>
        </w:numPr>
        <w:spacing w:after="120"/>
        <w:rPr>
          <w:rFonts w:ascii="Tahoma" w:hAnsi="Tahoma" w:cs="Tahoma"/>
          <w:sz w:val="20"/>
          <w:szCs w:val="20"/>
        </w:rPr>
      </w:pPr>
      <w:r w:rsidRPr="00161E3C">
        <w:rPr>
          <w:rFonts w:ascii="Tahoma" w:hAnsi="Tahoma" w:cs="Tahoma"/>
          <w:sz w:val="20"/>
          <w:szCs w:val="20"/>
        </w:rPr>
        <w:t xml:space="preserve">Damage to forklifts </w:t>
      </w:r>
    </w:p>
    <w:p w14:paraId="7E2D6CE8" w14:textId="613E8F64" w:rsidR="00161E3C" w:rsidRPr="00191CD2" w:rsidRDefault="00161E3C" w:rsidP="00191CD2">
      <w:pPr>
        <w:pStyle w:val="ListParagraph"/>
        <w:numPr>
          <w:ilvl w:val="0"/>
          <w:numId w:val="30"/>
        </w:numPr>
        <w:spacing w:after="120"/>
        <w:rPr>
          <w:rFonts w:ascii="Tahoma" w:hAnsi="Tahoma" w:cs="Tahoma"/>
          <w:sz w:val="20"/>
          <w:szCs w:val="20"/>
        </w:rPr>
      </w:pPr>
      <w:r w:rsidRPr="00161E3C">
        <w:rPr>
          <w:rFonts w:ascii="Tahoma" w:hAnsi="Tahoma" w:cs="Tahoma"/>
          <w:sz w:val="20"/>
          <w:szCs w:val="20"/>
        </w:rPr>
        <w:t xml:space="preserve">Damage to warehouse floors  </w:t>
      </w:r>
    </w:p>
    <w:p w14:paraId="2FB8091A" w14:textId="5155E876" w:rsidR="00161E3C" w:rsidRDefault="00161E3C" w:rsidP="00191CD2">
      <w:pPr>
        <w:spacing w:after="120"/>
        <w:rPr>
          <w:rFonts w:ascii="Tahoma" w:hAnsi="Tahoma" w:cs="Tahoma"/>
          <w:sz w:val="20"/>
          <w:szCs w:val="20"/>
        </w:rPr>
      </w:pPr>
      <w:r w:rsidRPr="00161E3C">
        <w:rPr>
          <w:rFonts w:ascii="Tahoma" w:hAnsi="Tahoma" w:cs="Tahoma"/>
          <w:sz w:val="20"/>
          <w:szCs w:val="20"/>
        </w:rPr>
        <w:t xml:space="preserve">Due to the physical danger and financial impact of such incidents, adherence to the following procedures is critical for the identification, handling and storage of unevenly loaded containers.    </w:t>
      </w:r>
    </w:p>
    <w:p w14:paraId="67C3CA1C" w14:textId="77777777" w:rsidR="00161E3C" w:rsidRPr="00161E3C" w:rsidRDefault="00161E3C" w:rsidP="00191CD2">
      <w:pPr>
        <w:spacing w:after="120"/>
        <w:rPr>
          <w:rFonts w:ascii="Tahoma" w:hAnsi="Tahoma" w:cs="Tahoma"/>
          <w:sz w:val="20"/>
          <w:szCs w:val="20"/>
        </w:rPr>
      </w:pPr>
    </w:p>
    <w:p w14:paraId="4241F7FF" w14:textId="7BC8E519" w:rsidR="00161E3C" w:rsidRPr="00161E3C" w:rsidRDefault="00161E3C" w:rsidP="00191CD2">
      <w:pPr>
        <w:spacing w:after="120"/>
        <w:rPr>
          <w:rFonts w:ascii="Tahoma" w:hAnsi="Tahoma" w:cs="Tahoma"/>
          <w:b/>
          <w:sz w:val="20"/>
          <w:szCs w:val="20"/>
          <w:u w:val="single"/>
        </w:rPr>
      </w:pPr>
      <w:r w:rsidRPr="00161E3C">
        <w:rPr>
          <w:rFonts w:ascii="Tahoma" w:hAnsi="Tahoma" w:cs="Tahoma"/>
          <w:b/>
          <w:sz w:val="20"/>
          <w:szCs w:val="20"/>
          <w:u w:val="single"/>
        </w:rPr>
        <w:t>IDENTIFICATION</w:t>
      </w:r>
      <w:r>
        <w:rPr>
          <w:rFonts w:ascii="Tahoma" w:hAnsi="Tahoma" w:cs="Tahoma"/>
          <w:b/>
          <w:sz w:val="20"/>
          <w:szCs w:val="20"/>
          <w:u w:val="single"/>
        </w:rPr>
        <w:t>:</w:t>
      </w:r>
    </w:p>
    <w:p w14:paraId="77D3CB66"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In cases where unevenly loaded containers are identified while the customer is present, management can make the determination to have the customer re-arrange the contents prior to storage or re-delivery.  However, in most cases, unevenly loaded containers should be identified by the forklift operator.  When moving any container, the forklift operator should always raise the container a few inches and assess the stability before proceeding with the full lift.  As shown below, a container will tilt to one side when the load is not balanced.</w:t>
      </w:r>
    </w:p>
    <w:p w14:paraId="132EF920" w14:textId="79416DAB" w:rsidR="00161E3C" w:rsidRPr="00161E3C" w:rsidRDefault="00161E3C" w:rsidP="00191CD2">
      <w:pPr>
        <w:spacing w:after="120"/>
        <w:rPr>
          <w:rFonts w:ascii="Tahoma" w:hAnsi="Tahoma" w:cs="Tahoma"/>
          <w:sz w:val="20"/>
          <w:szCs w:val="20"/>
        </w:rPr>
      </w:pPr>
      <w:r w:rsidRPr="00161E3C">
        <w:rPr>
          <w:rFonts w:ascii="Tahoma" w:hAnsi="Tahoma" w:cs="Tahoma"/>
          <w:noProof/>
          <w:sz w:val="20"/>
          <w:szCs w:val="20"/>
        </w:rPr>
        <w:drawing>
          <wp:inline distT="0" distB="0" distL="0" distR="0" wp14:anchorId="7FE9AF31" wp14:editId="4C4802B9">
            <wp:extent cx="4556053" cy="30003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5211" cy="3012992"/>
                    </a:xfrm>
                    <a:prstGeom prst="rect">
                      <a:avLst/>
                    </a:prstGeom>
                  </pic:spPr>
                </pic:pic>
              </a:graphicData>
            </a:graphic>
          </wp:inline>
        </w:drawing>
      </w:r>
    </w:p>
    <w:p w14:paraId="0E8C14A7" w14:textId="2DA97670" w:rsidR="00161E3C" w:rsidRPr="00161E3C" w:rsidRDefault="00161E3C" w:rsidP="00191CD2">
      <w:pPr>
        <w:spacing w:after="120"/>
        <w:rPr>
          <w:rFonts w:ascii="Tahoma" w:hAnsi="Tahoma" w:cs="Tahoma"/>
          <w:sz w:val="20"/>
          <w:szCs w:val="20"/>
        </w:rPr>
      </w:pPr>
      <w:r w:rsidRPr="00161E3C">
        <w:rPr>
          <w:rFonts w:ascii="Tahoma" w:hAnsi="Tahoma" w:cs="Tahoma"/>
          <w:sz w:val="20"/>
          <w:szCs w:val="20"/>
        </w:rPr>
        <w:lastRenderedPageBreak/>
        <w:t>Once an uneven load is identified, the container must be clearly marked with two blue magnets on the heavy end of the container.  As shown below, the magnets should be affixed to the upper 1/3</w:t>
      </w:r>
      <w:r w:rsidRPr="00161E3C">
        <w:rPr>
          <w:rFonts w:ascii="Tahoma" w:hAnsi="Tahoma" w:cs="Tahoma"/>
          <w:sz w:val="20"/>
          <w:szCs w:val="20"/>
          <w:vertAlign w:val="superscript"/>
        </w:rPr>
        <w:t>rd</w:t>
      </w:r>
      <w:r w:rsidRPr="00161E3C">
        <w:rPr>
          <w:rFonts w:ascii="Tahoma" w:hAnsi="Tahoma" w:cs="Tahoma"/>
          <w:sz w:val="20"/>
          <w:szCs w:val="20"/>
        </w:rPr>
        <w:t xml:space="preserve"> of the corner metal posts on both sides of the container, clearly visible to the forklift operator.  Further, these magnets should remain affixed to the container during IF transportation.  In doing so, forklift operators at both HUB and destination facilities will be made aware of the uneven load.  These magnets (part </w:t>
      </w:r>
      <w:r w:rsidRPr="00161E3C">
        <w:rPr>
          <w:rFonts w:ascii="Tahoma" w:hAnsi="Tahoma" w:cs="Tahoma"/>
          <w:sz w:val="20"/>
          <w:szCs w:val="20"/>
          <w:u w:val="single"/>
        </w:rPr>
        <w:t>#RCU911</w:t>
      </w:r>
      <w:r w:rsidRPr="00161E3C">
        <w:rPr>
          <w:rFonts w:ascii="Tahoma" w:hAnsi="Tahoma" w:cs="Tahoma"/>
          <w:sz w:val="20"/>
          <w:szCs w:val="20"/>
        </w:rPr>
        <w:t xml:space="preserve">), are available for purchase on the </w:t>
      </w:r>
      <w:hyperlink r:id="rId12" w:history="1">
        <w:r w:rsidRPr="00161E3C">
          <w:rPr>
            <w:rStyle w:val="Hyperlink"/>
            <w:rFonts w:ascii="Tahoma" w:hAnsi="Tahoma" w:cs="Tahoma"/>
            <w:sz w:val="20"/>
            <w:szCs w:val="20"/>
          </w:rPr>
          <w:t>PODS Portal</w:t>
        </w:r>
      </w:hyperlink>
      <w:r w:rsidRPr="00161E3C">
        <w:rPr>
          <w:rFonts w:ascii="Tahoma" w:hAnsi="Tahoma" w:cs="Tahoma"/>
          <w:sz w:val="20"/>
          <w:szCs w:val="20"/>
        </w:rPr>
        <w:t xml:space="preserve">.   </w:t>
      </w:r>
    </w:p>
    <w:p w14:paraId="57AEFA3F" w14:textId="3A697466" w:rsidR="00161E3C" w:rsidRDefault="00161E3C" w:rsidP="00191CD2">
      <w:pPr>
        <w:spacing w:after="120"/>
        <w:rPr>
          <w:rFonts w:ascii="Tahoma" w:hAnsi="Tahoma" w:cs="Tahoma"/>
          <w:sz w:val="20"/>
          <w:szCs w:val="20"/>
        </w:rPr>
      </w:pPr>
      <w:r w:rsidRPr="00161E3C">
        <w:rPr>
          <w:rFonts w:ascii="Tahoma" w:hAnsi="Tahoma" w:cs="Tahoma"/>
          <w:noProof/>
          <w:sz w:val="20"/>
          <w:szCs w:val="20"/>
        </w:rPr>
        <w:drawing>
          <wp:inline distT="0" distB="0" distL="0" distR="0" wp14:anchorId="7BA45D50" wp14:editId="321738C9">
            <wp:extent cx="5444030" cy="340042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50023" cy="3404168"/>
                    </a:xfrm>
                    <a:prstGeom prst="rect">
                      <a:avLst/>
                    </a:prstGeom>
                  </pic:spPr>
                </pic:pic>
              </a:graphicData>
            </a:graphic>
          </wp:inline>
        </w:drawing>
      </w:r>
      <w:r w:rsidRPr="00161E3C">
        <w:rPr>
          <w:rFonts w:ascii="Tahoma" w:hAnsi="Tahoma" w:cs="Tahoma"/>
          <w:sz w:val="20"/>
          <w:szCs w:val="20"/>
        </w:rPr>
        <w:t xml:space="preserve">  </w:t>
      </w:r>
    </w:p>
    <w:p w14:paraId="7AA3446B" w14:textId="77777777" w:rsidR="00161E3C" w:rsidRPr="00161E3C" w:rsidRDefault="00161E3C" w:rsidP="00191CD2">
      <w:pPr>
        <w:spacing w:after="120"/>
        <w:rPr>
          <w:rFonts w:ascii="Tahoma" w:hAnsi="Tahoma" w:cs="Tahoma"/>
          <w:sz w:val="20"/>
          <w:szCs w:val="20"/>
        </w:rPr>
      </w:pPr>
    </w:p>
    <w:p w14:paraId="4E711A65" w14:textId="5AE39ED8" w:rsidR="00161E3C" w:rsidRPr="00161E3C" w:rsidRDefault="00161E3C" w:rsidP="00191CD2">
      <w:pPr>
        <w:spacing w:after="120"/>
        <w:rPr>
          <w:rFonts w:ascii="Tahoma" w:hAnsi="Tahoma" w:cs="Tahoma"/>
          <w:sz w:val="20"/>
          <w:szCs w:val="20"/>
        </w:rPr>
      </w:pPr>
      <w:r w:rsidRPr="00161E3C">
        <w:rPr>
          <w:rFonts w:ascii="Tahoma" w:hAnsi="Tahoma" w:cs="Tahoma"/>
          <w:sz w:val="20"/>
          <w:szCs w:val="20"/>
        </w:rPr>
        <w:t>Under previous guidance, unevenly loaded containers were marked with a blue “X” or “unbalanced load” decal.  However, such markings have created issues with container appearance.  The blue “X” can be difficult to remove and often leaves a permanent stain or residue.  Further, the “unbalanced load” or “heavy” decals have caused transportation issues when passing through weigh stations and undergoing other inspections.  Accordingly, the use of such markings is no longer acceptable.</w:t>
      </w:r>
    </w:p>
    <w:p w14:paraId="640E8681" w14:textId="3758D2FA" w:rsidR="00161E3C" w:rsidRPr="00161E3C" w:rsidRDefault="00161E3C" w:rsidP="00191CD2">
      <w:pPr>
        <w:spacing w:after="120"/>
        <w:jc w:val="both"/>
        <w:rPr>
          <w:rFonts w:ascii="Tahoma" w:hAnsi="Tahoma" w:cs="Tahoma"/>
          <w:sz w:val="20"/>
          <w:szCs w:val="20"/>
        </w:rPr>
      </w:pPr>
      <w:r w:rsidRPr="00161E3C">
        <w:rPr>
          <w:rFonts w:ascii="Tahoma" w:hAnsi="Tahoma" w:cs="Tahoma"/>
          <w:noProof/>
          <w:sz w:val="20"/>
          <w:szCs w:val="20"/>
        </w:rPr>
        <mc:AlternateContent>
          <mc:Choice Requires="wps">
            <w:drawing>
              <wp:anchor distT="0" distB="0" distL="114300" distR="114300" simplePos="0" relativeHeight="251664384" behindDoc="0" locked="0" layoutInCell="1" allowOverlap="1" wp14:anchorId="7A4EFAED" wp14:editId="42FD3FD2">
                <wp:simplePos x="0" y="0"/>
                <wp:positionH relativeFrom="margin">
                  <wp:posOffset>4057650</wp:posOffset>
                </wp:positionH>
                <wp:positionV relativeFrom="paragraph">
                  <wp:posOffset>35560</wp:posOffset>
                </wp:positionV>
                <wp:extent cx="1838325" cy="1838325"/>
                <wp:effectExtent l="19050" t="19050" r="28575" b="28575"/>
                <wp:wrapNone/>
                <wp:docPr id="15" name="Straight Connector 15"/>
                <wp:cNvGraphicFramePr/>
                <a:graphic xmlns:a="http://schemas.openxmlformats.org/drawingml/2006/main">
                  <a:graphicData uri="http://schemas.microsoft.com/office/word/2010/wordprocessingShape">
                    <wps:wsp>
                      <wps:cNvCnPr/>
                      <wps:spPr>
                        <a:xfrm flipH="1">
                          <a:off x="0" y="0"/>
                          <a:ext cx="1838325" cy="18383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087DC" id="Straight Connector 15" o:spid="_x0000_s1026" style="position:absolute;flip:x;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9.5pt,2.8pt" to="464.25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" strokecolor="red" strokeweight="2.25pt">
                <w10:wrap anchorx="margin"/>
              </v:line>
            </w:pict>
          </mc:Fallback>
        </mc:AlternateContent>
      </w:r>
      <w:r w:rsidRPr="00161E3C">
        <w:rPr>
          <w:rFonts w:ascii="Tahoma" w:hAnsi="Tahoma" w:cs="Tahoma"/>
          <w:noProof/>
          <w:sz w:val="20"/>
          <w:szCs w:val="20"/>
        </w:rPr>
        <mc:AlternateContent>
          <mc:Choice Requires="wps">
            <w:drawing>
              <wp:anchor distT="0" distB="0" distL="114300" distR="114300" simplePos="0" relativeHeight="251663360" behindDoc="0" locked="0" layoutInCell="1" allowOverlap="1" wp14:anchorId="08864085" wp14:editId="2165F101">
                <wp:simplePos x="0" y="0"/>
                <wp:positionH relativeFrom="margin">
                  <wp:posOffset>2047875</wp:posOffset>
                </wp:positionH>
                <wp:positionV relativeFrom="paragraph">
                  <wp:posOffset>35560</wp:posOffset>
                </wp:positionV>
                <wp:extent cx="1838325" cy="1838325"/>
                <wp:effectExtent l="19050" t="19050" r="28575" b="28575"/>
                <wp:wrapNone/>
                <wp:docPr id="14" name="Straight Connector 14"/>
                <wp:cNvGraphicFramePr/>
                <a:graphic xmlns:a="http://schemas.openxmlformats.org/drawingml/2006/main">
                  <a:graphicData uri="http://schemas.microsoft.com/office/word/2010/wordprocessingShape">
                    <wps:wsp>
                      <wps:cNvCnPr/>
                      <wps:spPr>
                        <a:xfrm flipH="1">
                          <a:off x="0" y="0"/>
                          <a:ext cx="1838325" cy="18383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2D0E79" id="Straight Connector 14" o:spid="_x0000_s1026" style="position:absolute;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1.25pt,2.8pt" to="306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" strokecolor="red" strokeweight="2.25pt">
                <w10:wrap anchorx="margin"/>
              </v:line>
            </w:pict>
          </mc:Fallback>
        </mc:AlternateContent>
      </w:r>
      <w:r w:rsidRPr="00161E3C">
        <w:rPr>
          <w:rFonts w:ascii="Tahoma" w:hAnsi="Tahoma" w:cs="Tahoma"/>
          <w:noProof/>
          <w:sz w:val="20"/>
          <w:szCs w:val="20"/>
        </w:rPr>
        <mc:AlternateContent>
          <mc:Choice Requires="wps">
            <w:drawing>
              <wp:anchor distT="0" distB="0" distL="114300" distR="114300" simplePos="0" relativeHeight="251662336" behindDoc="0" locked="0" layoutInCell="1" allowOverlap="1" wp14:anchorId="5EDB802A" wp14:editId="25D0AC11">
                <wp:simplePos x="0" y="0"/>
                <wp:positionH relativeFrom="margin">
                  <wp:posOffset>47625</wp:posOffset>
                </wp:positionH>
                <wp:positionV relativeFrom="paragraph">
                  <wp:posOffset>44450</wp:posOffset>
                </wp:positionV>
                <wp:extent cx="1838325" cy="1838325"/>
                <wp:effectExtent l="19050" t="19050" r="28575" b="28575"/>
                <wp:wrapNone/>
                <wp:docPr id="13" name="Straight Connector 13"/>
                <wp:cNvGraphicFramePr/>
                <a:graphic xmlns:a="http://schemas.openxmlformats.org/drawingml/2006/main">
                  <a:graphicData uri="http://schemas.microsoft.com/office/word/2010/wordprocessingShape">
                    <wps:wsp>
                      <wps:cNvCnPr/>
                      <wps:spPr>
                        <a:xfrm flipH="1">
                          <a:off x="0" y="0"/>
                          <a:ext cx="1838325" cy="1838325"/>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4B726" id="Straight Connector 13"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3.5pt" to="148.5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" strokecolor="red" strokeweight="2.25pt">
                <w10:wrap anchorx="margin"/>
              </v:line>
            </w:pict>
          </mc:Fallback>
        </mc:AlternateContent>
      </w:r>
      <w:r w:rsidRPr="00161E3C">
        <w:rPr>
          <w:rFonts w:ascii="Tahoma" w:hAnsi="Tahoma" w:cs="Tahoma"/>
          <w:noProof/>
          <w:sz w:val="20"/>
          <w:szCs w:val="20"/>
        </w:rPr>
        <mc:AlternateContent>
          <mc:Choice Requires="wps">
            <w:drawing>
              <wp:anchor distT="0" distB="0" distL="114300" distR="114300" simplePos="0" relativeHeight="251660288" behindDoc="0" locked="0" layoutInCell="1" allowOverlap="1" wp14:anchorId="5165D5BA" wp14:editId="4AC51A56">
                <wp:simplePos x="0" y="0"/>
                <wp:positionH relativeFrom="margin">
                  <wp:posOffset>2038350</wp:posOffset>
                </wp:positionH>
                <wp:positionV relativeFrom="paragraph">
                  <wp:posOffset>35560</wp:posOffset>
                </wp:positionV>
                <wp:extent cx="1847850" cy="1828800"/>
                <wp:effectExtent l="19050" t="19050" r="19050" b="19050"/>
                <wp:wrapNone/>
                <wp:docPr id="11" name="Straight Connector 11"/>
                <wp:cNvGraphicFramePr/>
                <a:graphic xmlns:a="http://schemas.openxmlformats.org/drawingml/2006/main">
                  <a:graphicData uri="http://schemas.microsoft.com/office/word/2010/wordprocessingShape">
                    <wps:wsp>
                      <wps:cNvCnPr/>
                      <wps:spPr>
                        <a:xfrm>
                          <a:off x="0" y="0"/>
                          <a:ext cx="1847850" cy="182880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CBEDB" id="Straight Connector 11"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0.5pt,2.8pt" to="306pt,1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" strokecolor="red" strokeweight="2.25pt">
                <w10:wrap anchorx="margin"/>
              </v:line>
            </w:pict>
          </mc:Fallback>
        </mc:AlternateContent>
      </w:r>
      <w:r w:rsidRPr="00161E3C">
        <w:rPr>
          <w:rFonts w:ascii="Tahoma" w:hAnsi="Tahoma" w:cs="Tahoma"/>
          <w:noProof/>
          <w:sz w:val="20"/>
          <w:szCs w:val="20"/>
        </w:rPr>
        <mc:AlternateContent>
          <mc:Choice Requires="wps">
            <w:drawing>
              <wp:anchor distT="0" distB="0" distL="114300" distR="114300" simplePos="0" relativeHeight="251661312" behindDoc="0" locked="0" layoutInCell="1" allowOverlap="1" wp14:anchorId="06901FF3" wp14:editId="6226646C">
                <wp:simplePos x="0" y="0"/>
                <wp:positionH relativeFrom="margin">
                  <wp:posOffset>4048125</wp:posOffset>
                </wp:positionH>
                <wp:positionV relativeFrom="paragraph">
                  <wp:posOffset>35560</wp:posOffset>
                </wp:positionV>
                <wp:extent cx="1847850" cy="1828800"/>
                <wp:effectExtent l="19050" t="19050" r="19050" b="19050"/>
                <wp:wrapNone/>
                <wp:docPr id="12" name="Straight Connector 12"/>
                <wp:cNvGraphicFramePr/>
                <a:graphic xmlns:a="http://schemas.openxmlformats.org/drawingml/2006/main">
                  <a:graphicData uri="http://schemas.microsoft.com/office/word/2010/wordprocessingShape">
                    <wps:wsp>
                      <wps:cNvCnPr/>
                      <wps:spPr>
                        <a:xfrm>
                          <a:off x="0" y="0"/>
                          <a:ext cx="1847850" cy="182880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A91C5"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8.75pt,2.8pt" to="464.25pt,1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" strokecolor="red" strokeweight="2.25pt">
                <w10:wrap anchorx="margin"/>
              </v:line>
            </w:pict>
          </mc:Fallback>
        </mc:AlternateContent>
      </w:r>
      <w:r w:rsidRPr="00161E3C">
        <w:rPr>
          <w:rFonts w:ascii="Tahoma" w:hAnsi="Tahoma" w:cs="Tahoma"/>
          <w:noProof/>
          <w:sz w:val="20"/>
          <w:szCs w:val="20"/>
        </w:rPr>
        <mc:AlternateContent>
          <mc:Choice Requires="wps">
            <w:drawing>
              <wp:anchor distT="0" distB="0" distL="114300" distR="114300" simplePos="0" relativeHeight="251659264" behindDoc="0" locked="0" layoutInCell="1" allowOverlap="1" wp14:anchorId="75E77772" wp14:editId="4BDE460D">
                <wp:simplePos x="0" y="0"/>
                <wp:positionH relativeFrom="margin">
                  <wp:align>left</wp:align>
                </wp:positionH>
                <wp:positionV relativeFrom="paragraph">
                  <wp:posOffset>45085</wp:posOffset>
                </wp:positionV>
                <wp:extent cx="1847850" cy="1828800"/>
                <wp:effectExtent l="19050" t="19050" r="19050" b="19050"/>
                <wp:wrapNone/>
                <wp:docPr id="10" name="Straight Connector 10"/>
                <wp:cNvGraphicFramePr/>
                <a:graphic xmlns:a="http://schemas.openxmlformats.org/drawingml/2006/main">
                  <a:graphicData uri="http://schemas.microsoft.com/office/word/2010/wordprocessingShape">
                    <wps:wsp>
                      <wps:cNvCnPr/>
                      <wps:spPr>
                        <a:xfrm>
                          <a:off x="0" y="0"/>
                          <a:ext cx="1847850" cy="182880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78295F" id="Straight Connector 10"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5pt" to="145.5pt,1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" strokecolor="red" strokeweight="2.25pt">
                <w10:wrap anchorx="margin"/>
              </v:line>
            </w:pict>
          </mc:Fallback>
        </mc:AlternateContent>
      </w:r>
      <w:r w:rsidRPr="00161E3C">
        <w:rPr>
          <w:rFonts w:ascii="Tahoma" w:hAnsi="Tahoma" w:cs="Tahoma"/>
          <w:noProof/>
          <w:sz w:val="20"/>
          <w:szCs w:val="20"/>
        </w:rPr>
        <w:drawing>
          <wp:inline distT="0" distB="0" distL="0" distR="0" wp14:anchorId="29324175" wp14:editId="0805EC17">
            <wp:extent cx="1920240" cy="1920240"/>
            <wp:effectExtent l="0" t="0" r="3810" b="381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20240" cy="1920240"/>
                    </a:xfrm>
                    <a:prstGeom prst="rect">
                      <a:avLst/>
                    </a:prstGeom>
                  </pic:spPr>
                </pic:pic>
              </a:graphicData>
            </a:graphic>
          </wp:inline>
        </w:drawing>
      </w:r>
      <w:r w:rsidRPr="00161E3C">
        <w:rPr>
          <w:rFonts w:ascii="Tahoma" w:hAnsi="Tahoma" w:cs="Tahoma"/>
          <w:sz w:val="20"/>
          <w:szCs w:val="20"/>
        </w:rPr>
        <w:t xml:space="preserve"> </w:t>
      </w:r>
      <w:r w:rsidRPr="00161E3C">
        <w:rPr>
          <w:rFonts w:ascii="Tahoma" w:hAnsi="Tahoma" w:cs="Tahoma"/>
          <w:noProof/>
          <w:sz w:val="20"/>
          <w:szCs w:val="20"/>
        </w:rPr>
        <w:drawing>
          <wp:inline distT="0" distB="0" distL="0" distR="0" wp14:anchorId="65A2A3CC" wp14:editId="2B72C74A">
            <wp:extent cx="1920240" cy="1920240"/>
            <wp:effectExtent l="0" t="0" r="3810" b="381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20240" cy="1920240"/>
                    </a:xfrm>
                    <a:prstGeom prst="rect">
                      <a:avLst/>
                    </a:prstGeom>
                  </pic:spPr>
                </pic:pic>
              </a:graphicData>
            </a:graphic>
          </wp:inline>
        </w:drawing>
      </w:r>
      <w:r w:rsidRPr="00161E3C">
        <w:rPr>
          <w:rFonts w:ascii="Tahoma" w:hAnsi="Tahoma" w:cs="Tahoma"/>
          <w:sz w:val="20"/>
          <w:szCs w:val="20"/>
        </w:rPr>
        <w:t xml:space="preserve">  </w:t>
      </w:r>
      <w:r w:rsidRPr="00161E3C">
        <w:rPr>
          <w:rFonts w:ascii="Tahoma" w:hAnsi="Tahoma" w:cs="Tahoma"/>
          <w:noProof/>
          <w:sz w:val="20"/>
          <w:szCs w:val="20"/>
        </w:rPr>
        <w:drawing>
          <wp:inline distT="0" distB="0" distL="0" distR="0" wp14:anchorId="663EE5E0" wp14:editId="1605B312">
            <wp:extent cx="1920240" cy="1920240"/>
            <wp:effectExtent l="0" t="0" r="3810" b="381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20240" cy="1920240"/>
                    </a:xfrm>
                    <a:prstGeom prst="rect">
                      <a:avLst/>
                    </a:prstGeom>
                  </pic:spPr>
                </pic:pic>
              </a:graphicData>
            </a:graphic>
          </wp:inline>
        </w:drawing>
      </w:r>
      <w:r w:rsidRPr="00161E3C">
        <w:rPr>
          <w:rFonts w:ascii="Tahoma" w:hAnsi="Tahoma" w:cs="Tahoma"/>
          <w:sz w:val="20"/>
          <w:szCs w:val="20"/>
        </w:rPr>
        <w:t xml:space="preserve">  </w:t>
      </w:r>
      <w:r w:rsidRPr="00161E3C">
        <w:rPr>
          <w:rFonts w:ascii="Tahoma" w:hAnsi="Tahoma" w:cs="Tahoma"/>
          <w:noProof/>
          <w:sz w:val="20"/>
          <w:szCs w:val="20"/>
        </w:rPr>
        <w:t xml:space="preserve"> </w:t>
      </w:r>
    </w:p>
    <w:p w14:paraId="7A6C215D" w14:textId="77777777" w:rsidR="00161E3C" w:rsidRDefault="00161E3C" w:rsidP="00191CD2">
      <w:pPr>
        <w:spacing w:after="120"/>
        <w:rPr>
          <w:rFonts w:ascii="Tahoma" w:hAnsi="Tahoma" w:cs="Tahoma"/>
          <w:b/>
          <w:sz w:val="20"/>
          <w:szCs w:val="20"/>
          <w:u w:val="single"/>
        </w:rPr>
      </w:pPr>
    </w:p>
    <w:p w14:paraId="4277EFA5" w14:textId="113A34F1" w:rsidR="00161E3C" w:rsidRDefault="00161E3C" w:rsidP="00191CD2">
      <w:pPr>
        <w:spacing w:after="120"/>
        <w:rPr>
          <w:rFonts w:ascii="Tahoma" w:hAnsi="Tahoma" w:cs="Tahoma"/>
          <w:b/>
          <w:sz w:val="20"/>
          <w:szCs w:val="20"/>
          <w:u w:val="single"/>
        </w:rPr>
      </w:pPr>
    </w:p>
    <w:p w14:paraId="010DC7D6" w14:textId="62FB2872" w:rsidR="00191CD2" w:rsidRDefault="00191CD2" w:rsidP="00191CD2">
      <w:pPr>
        <w:spacing w:after="120"/>
        <w:rPr>
          <w:rFonts w:ascii="Tahoma" w:hAnsi="Tahoma" w:cs="Tahoma"/>
          <w:b/>
          <w:sz w:val="20"/>
          <w:szCs w:val="20"/>
          <w:u w:val="single"/>
        </w:rPr>
      </w:pPr>
    </w:p>
    <w:p w14:paraId="584B82A4" w14:textId="77777777" w:rsidR="00191CD2" w:rsidRDefault="00191CD2" w:rsidP="00191CD2">
      <w:pPr>
        <w:spacing w:after="120"/>
        <w:rPr>
          <w:rFonts w:ascii="Tahoma" w:hAnsi="Tahoma" w:cs="Tahoma"/>
          <w:b/>
          <w:sz w:val="20"/>
          <w:szCs w:val="20"/>
          <w:u w:val="single"/>
        </w:rPr>
      </w:pPr>
    </w:p>
    <w:p w14:paraId="744926CE" w14:textId="77777777" w:rsidR="00191CD2" w:rsidRDefault="00191CD2" w:rsidP="00191CD2">
      <w:pPr>
        <w:spacing w:after="120"/>
        <w:rPr>
          <w:rFonts w:ascii="Tahoma" w:hAnsi="Tahoma" w:cs="Tahoma"/>
          <w:b/>
          <w:sz w:val="20"/>
          <w:szCs w:val="20"/>
          <w:u w:val="single"/>
        </w:rPr>
      </w:pPr>
    </w:p>
    <w:p w14:paraId="1C4AFFB2" w14:textId="0E9B3B93" w:rsidR="00161E3C" w:rsidRPr="00161E3C" w:rsidRDefault="00161E3C" w:rsidP="00191CD2">
      <w:pPr>
        <w:spacing w:after="120"/>
        <w:rPr>
          <w:rFonts w:ascii="Tahoma" w:hAnsi="Tahoma" w:cs="Tahoma"/>
          <w:b/>
          <w:sz w:val="20"/>
          <w:szCs w:val="20"/>
          <w:u w:val="single"/>
        </w:rPr>
      </w:pPr>
      <w:r w:rsidRPr="00161E3C">
        <w:rPr>
          <w:rFonts w:ascii="Tahoma" w:hAnsi="Tahoma" w:cs="Tahoma"/>
          <w:b/>
          <w:sz w:val="20"/>
          <w:szCs w:val="20"/>
          <w:u w:val="single"/>
        </w:rPr>
        <w:lastRenderedPageBreak/>
        <w:t xml:space="preserve">Handling and Storage       </w:t>
      </w:r>
    </w:p>
    <w:p w14:paraId="04401AAC"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 xml:space="preserve">Unevenly loaded containers should be handled with enhanced caution.  The container must be stored on the ground level of the warehouse and in </w:t>
      </w:r>
      <w:r w:rsidRPr="00161E3C">
        <w:rPr>
          <w:rFonts w:ascii="Tahoma" w:hAnsi="Tahoma" w:cs="Tahoma"/>
          <w:sz w:val="20"/>
          <w:szCs w:val="20"/>
          <w:u w:val="single"/>
        </w:rPr>
        <w:t>no cases</w:t>
      </w:r>
      <w:r w:rsidRPr="00161E3C">
        <w:rPr>
          <w:rFonts w:ascii="Tahoma" w:hAnsi="Tahoma" w:cs="Tahoma"/>
          <w:sz w:val="20"/>
          <w:szCs w:val="20"/>
        </w:rPr>
        <w:t xml:space="preserve"> should exceptions be made.  </w:t>
      </w:r>
    </w:p>
    <w:p w14:paraId="2A4BE525"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 xml:space="preserve">To lift an unevenly loaded container: </w:t>
      </w:r>
    </w:p>
    <w:p w14:paraId="3CA279CF" w14:textId="4360507D" w:rsidR="00161E3C" w:rsidRPr="00161E3C" w:rsidRDefault="00161E3C" w:rsidP="00191CD2">
      <w:pPr>
        <w:pStyle w:val="ListParagraph"/>
        <w:numPr>
          <w:ilvl w:val="0"/>
          <w:numId w:val="29"/>
        </w:numPr>
        <w:spacing w:after="120"/>
        <w:rPr>
          <w:rFonts w:ascii="Tahoma" w:hAnsi="Tahoma" w:cs="Tahoma"/>
          <w:sz w:val="20"/>
          <w:szCs w:val="20"/>
        </w:rPr>
      </w:pPr>
      <w:r w:rsidRPr="00161E3C">
        <w:rPr>
          <w:rFonts w:ascii="Tahoma" w:hAnsi="Tahoma" w:cs="Tahoma"/>
          <w:sz w:val="20"/>
          <w:szCs w:val="20"/>
        </w:rPr>
        <w:t>Lift at a gradual pace from the floor</w:t>
      </w:r>
      <w:r w:rsidR="00821E3F">
        <w:rPr>
          <w:rFonts w:ascii="Tahoma" w:hAnsi="Tahoma" w:cs="Tahoma"/>
          <w:sz w:val="20"/>
          <w:szCs w:val="20"/>
        </w:rPr>
        <w:t xml:space="preserve"> or truck bed</w:t>
      </w:r>
      <w:r w:rsidRPr="00161E3C">
        <w:rPr>
          <w:rFonts w:ascii="Tahoma" w:hAnsi="Tahoma" w:cs="Tahoma"/>
          <w:sz w:val="20"/>
          <w:szCs w:val="20"/>
        </w:rPr>
        <w:t>, pausing a few inches from the ground to gauge stability</w:t>
      </w:r>
    </w:p>
    <w:p w14:paraId="4027CAF9" w14:textId="79E283C9" w:rsidR="00161E3C" w:rsidRPr="00161E3C" w:rsidRDefault="00821E3F" w:rsidP="00191CD2">
      <w:pPr>
        <w:pStyle w:val="ListParagraph"/>
        <w:numPr>
          <w:ilvl w:val="0"/>
          <w:numId w:val="29"/>
        </w:numPr>
        <w:spacing w:after="120"/>
        <w:rPr>
          <w:rFonts w:ascii="Tahoma" w:hAnsi="Tahoma" w:cs="Tahoma"/>
          <w:sz w:val="20"/>
          <w:szCs w:val="20"/>
        </w:rPr>
      </w:pPr>
      <w:r>
        <w:rPr>
          <w:rFonts w:ascii="Tahoma" w:hAnsi="Tahoma" w:cs="Tahoma"/>
          <w:sz w:val="20"/>
          <w:szCs w:val="20"/>
        </w:rPr>
        <w:t>With the container lifted six to eight inches from the floor, m</w:t>
      </w:r>
      <w:r w:rsidRPr="00161E3C">
        <w:rPr>
          <w:rFonts w:ascii="Tahoma" w:hAnsi="Tahoma" w:cs="Tahoma"/>
          <w:sz w:val="20"/>
          <w:szCs w:val="20"/>
        </w:rPr>
        <w:t>ove</w:t>
      </w:r>
      <w:r w:rsidR="00161E3C" w:rsidRPr="00161E3C">
        <w:rPr>
          <w:rFonts w:ascii="Tahoma" w:hAnsi="Tahoma" w:cs="Tahoma"/>
          <w:sz w:val="20"/>
          <w:szCs w:val="20"/>
        </w:rPr>
        <w:t xml:space="preserve"> slowly and cautiously through the facility, ensuring proper distance from other associates in accordance with the </w:t>
      </w:r>
      <w:hyperlink r:id="rId17" w:history="1">
        <w:r w:rsidR="00161E3C" w:rsidRPr="00161E3C">
          <w:rPr>
            <w:rStyle w:val="Hyperlink"/>
            <w:rFonts w:ascii="Tahoma" w:hAnsi="Tahoma" w:cs="Tahoma"/>
            <w:sz w:val="20"/>
            <w:szCs w:val="20"/>
          </w:rPr>
          <w:t>Forklift Policy</w:t>
        </w:r>
      </w:hyperlink>
    </w:p>
    <w:p w14:paraId="51A284F4" w14:textId="77777777" w:rsidR="00161E3C" w:rsidRPr="00161E3C" w:rsidRDefault="00161E3C" w:rsidP="00191CD2">
      <w:pPr>
        <w:pStyle w:val="ListParagraph"/>
        <w:numPr>
          <w:ilvl w:val="0"/>
          <w:numId w:val="29"/>
        </w:numPr>
        <w:spacing w:after="120"/>
        <w:rPr>
          <w:rFonts w:ascii="Tahoma" w:hAnsi="Tahoma" w:cs="Tahoma"/>
          <w:sz w:val="20"/>
          <w:szCs w:val="20"/>
        </w:rPr>
      </w:pPr>
      <w:r w:rsidRPr="00161E3C">
        <w:rPr>
          <w:rFonts w:ascii="Tahoma" w:hAnsi="Tahoma" w:cs="Tahoma"/>
          <w:sz w:val="20"/>
          <w:szCs w:val="20"/>
        </w:rPr>
        <w:t>For pre-Gen 5 containers, the forks may need to enter the pockets off-center to compensate for the uneven weight distribution (see image below)</w:t>
      </w:r>
    </w:p>
    <w:p w14:paraId="62D35DF4" w14:textId="77777777" w:rsidR="00161E3C" w:rsidRPr="00161E3C" w:rsidRDefault="00161E3C" w:rsidP="00191CD2">
      <w:pPr>
        <w:pStyle w:val="ListParagraph"/>
        <w:numPr>
          <w:ilvl w:val="0"/>
          <w:numId w:val="29"/>
        </w:numPr>
        <w:spacing w:after="120"/>
        <w:rPr>
          <w:rFonts w:ascii="Tahoma" w:hAnsi="Tahoma" w:cs="Tahoma"/>
          <w:sz w:val="20"/>
          <w:szCs w:val="20"/>
        </w:rPr>
      </w:pPr>
      <w:r w:rsidRPr="00161E3C">
        <w:rPr>
          <w:rFonts w:ascii="Tahoma" w:hAnsi="Tahoma" w:cs="Tahoma"/>
          <w:sz w:val="20"/>
          <w:szCs w:val="20"/>
        </w:rPr>
        <w:t>For Gen-5 and newer containers, off-center lifting is not an option as the forks can only be inserted through the designated pockets</w:t>
      </w:r>
    </w:p>
    <w:p w14:paraId="61C84742" w14:textId="3C092DF8" w:rsidR="00161E3C" w:rsidRPr="00161E3C" w:rsidRDefault="00161E3C" w:rsidP="00191CD2">
      <w:pPr>
        <w:spacing w:after="120"/>
        <w:rPr>
          <w:rFonts w:ascii="Tahoma" w:hAnsi="Tahoma" w:cs="Tahoma"/>
          <w:sz w:val="20"/>
          <w:szCs w:val="20"/>
        </w:rPr>
      </w:pPr>
      <w:r w:rsidRPr="00161E3C">
        <w:rPr>
          <w:rFonts w:ascii="Tahoma" w:hAnsi="Tahoma" w:cs="Tahoma"/>
          <w:noProof/>
          <w:sz w:val="20"/>
          <w:szCs w:val="20"/>
        </w:rPr>
        <w:drawing>
          <wp:inline distT="0" distB="0" distL="0" distR="0" wp14:anchorId="6994CEAA" wp14:editId="0CC94FE3">
            <wp:extent cx="5943600" cy="30670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067050"/>
                    </a:xfrm>
                    <a:prstGeom prst="rect">
                      <a:avLst/>
                    </a:prstGeom>
                  </pic:spPr>
                </pic:pic>
              </a:graphicData>
            </a:graphic>
          </wp:inline>
        </w:drawing>
      </w:r>
    </w:p>
    <w:p w14:paraId="5B62A536" w14:textId="77777777" w:rsidR="00161E3C" w:rsidRPr="00161E3C" w:rsidRDefault="00161E3C" w:rsidP="00191CD2">
      <w:pPr>
        <w:spacing w:after="120"/>
        <w:rPr>
          <w:rFonts w:ascii="Tahoma" w:hAnsi="Tahoma" w:cs="Tahoma"/>
          <w:sz w:val="20"/>
          <w:szCs w:val="20"/>
        </w:rPr>
      </w:pPr>
    </w:p>
    <w:p w14:paraId="7268FA95" w14:textId="77777777" w:rsidR="00161E3C" w:rsidRPr="00161E3C" w:rsidRDefault="00161E3C" w:rsidP="00191CD2">
      <w:pPr>
        <w:spacing w:after="120"/>
        <w:rPr>
          <w:rFonts w:ascii="Tahoma" w:hAnsi="Tahoma" w:cs="Tahoma"/>
          <w:b/>
          <w:sz w:val="20"/>
          <w:szCs w:val="20"/>
          <w:u w:val="single"/>
        </w:rPr>
      </w:pPr>
      <w:r w:rsidRPr="00161E3C">
        <w:rPr>
          <w:rFonts w:ascii="Tahoma" w:hAnsi="Tahoma" w:cs="Tahoma"/>
          <w:b/>
          <w:sz w:val="20"/>
          <w:szCs w:val="20"/>
          <w:u w:val="single"/>
        </w:rPr>
        <w:t>Removal</w:t>
      </w:r>
    </w:p>
    <w:p w14:paraId="40620A88"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The magnets should only be removed from the container upon loading for final delivery to the customer or self-FPU in the storage center.  In doing so, the container will not be delivered to the next customer with the magnets still attached.</w:t>
      </w:r>
    </w:p>
    <w:p w14:paraId="0C3AEC89" w14:textId="77777777" w:rsidR="00161E3C" w:rsidRPr="00161E3C" w:rsidRDefault="00161E3C" w:rsidP="00191CD2">
      <w:pPr>
        <w:spacing w:after="120"/>
        <w:rPr>
          <w:rFonts w:ascii="Tahoma" w:hAnsi="Tahoma" w:cs="Tahoma"/>
          <w:sz w:val="20"/>
          <w:szCs w:val="20"/>
        </w:rPr>
      </w:pPr>
    </w:p>
    <w:p w14:paraId="4B90F12D" w14:textId="77777777" w:rsidR="00161E3C" w:rsidRPr="00161E3C" w:rsidRDefault="00161E3C" w:rsidP="00191CD2">
      <w:pPr>
        <w:spacing w:after="120"/>
        <w:rPr>
          <w:rFonts w:ascii="Tahoma" w:hAnsi="Tahoma" w:cs="Tahoma"/>
          <w:b/>
          <w:sz w:val="20"/>
          <w:szCs w:val="20"/>
          <w:u w:val="single"/>
        </w:rPr>
      </w:pPr>
      <w:r w:rsidRPr="00161E3C">
        <w:rPr>
          <w:rFonts w:ascii="Tahoma" w:hAnsi="Tahoma" w:cs="Tahoma"/>
          <w:b/>
          <w:sz w:val="20"/>
          <w:szCs w:val="20"/>
          <w:u w:val="single"/>
        </w:rPr>
        <w:t>Questions/Comments</w:t>
      </w:r>
    </w:p>
    <w:p w14:paraId="12812809" w14:textId="77777777" w:rsidR="00161E3C" w:rsidRPr="00161E3C" w:rsidRDefault="00161E3C" w:rsidP="00191CD2">
      <w:pPr>
        <w:spacing w:after="120"/>
        <w:rPr>
          <w:rFonts w:ascii="Tahoma" w:hAnsi="Tahoma" w:cs="Tahoma"/>
          <w:sz w:val="20"/>
          <w:szCs w:val="20"/>
        </w:rPr>
      </w:pPr>
      <w:r w:rsidRPr="00161E3C">
        <w:rPr>
          <w:rFonts w:ascii="Tahoma" w:hAnsi="Tahoma" w:cs="Tahoma"/>
          <w:sz w:val="20"/>
          <w:szCs w:val="20"/>
        </w:rPr>
        <w:t>Any questions or comments surrounding this policy should be forwarded to the SVP of Corp. Ops, Franchise Development Management team or the Director of Internal Audit.</w:t>
      </w:r>
    </w:p>
    <w:p w14:paraId="7F509BFF" w14:textId="28364196" w:rsidR="00A51295" w:rsidRDefault="00A51295" w:rsidP="00191CD2">
      <w:pPr>
        <w:spacing w:after="120"/>
        <w:rPr>
          <w:rFonts w:ascii="Tahoma" w:hAnsi="Tahoma" w:cs="Tahoma"/>
          <w:sz w:val="20"/>
          <w:szCs w:val="20"/>
        </w:rPr>
      </w:pPr>
    </w:p>
    <w:p w14:paraId="35B9BB8C" w14:textId="036DBF5E" w:rsidR="00A51295" w:rsidRDefault="00A51295" w:rsidP="00191CD2">
      <w:pPr>
        <w:spacing w:after="120"/>
        <w:rPr>
          <w:rFonts w:ascii="Tahoma" w:hAnsi="Tahoma" w:cs="Tahoma"/>
          <w:sz w:val="20"/>
          <w:szCs w:val="20"/>
        </w:rPr>
      </w:pPr>
    </w:p>
    <w:p w14:paraId="093610D8" w14:textId="0A79AF0C" w:rsidR="00A51295" w:rsidRPr="00EA3D1A" w:rsidRDefault="00A51295" w:rsidP="00191CD2">
      <w:pPr>
        <w:spacing w:after="120"/>
        <w:rPr>
          <w:rFonts w:ascii="Tahoma" w:hAnsi="Tahoma" w:cs="Tahoma"/>
          <w:b/>
          <w:sz w:val="20"/>
          <w:szCs w:val="20"/>
          <w:u w:val="single"/>
        </w:rPr>
      </w:pPr>
      <w:r>
        <w:rPr>
          <w:rFonts w:ascii="Tahoma" w:hAnsi="Tahoma" w:cs="Tahoma"/>
          <w:b/>
          <w:sz w:val="20"/>
          <w:szCs w:val="20"/>
          <w:u w:val="single"/>
        </w:rPr>
        <w:t>SOP Revision History:</w:t>
      </w:r>
    </w:p>
    <w:p w14:paraId="48E437EB" w14:textId="74E4056E" w:rsidR="00A51295" w:rsidRPr="00A51295" w:rsidRDefault="00A51295" w:rsidP="00191CD2">
      <w:pPr>
        <w:spacing w:after="120"/>
        <w:rPr>
          <w:rFonts w:ascii="Tahoma" w:hAnsi="Tahoma" w:cs="Tahoma"/>
          <w:b/>
          <w:sz w:val="20"/>
          <w:szCs w:val="20"/>
        </w:rPr>
      </w:pPr>
      <w:r w:rsidRPr="00A51295">
        <w:rPr>
          <w:rFonts w:ascii="Tahoma" w:hAnsi="Tahoma" w:cs="Tahoma"/>
          <w:b/>
          <w:sz w:val="20"/>
          <w:szCs w:val="20"/>
        </w:rPr>
        <w:t>Date</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A51295">
        <w:rPr>
          <w:rFonts w:ascii="Tahoma" w:hAnsi="Tahoma" w:cs="Tahoma"/>
          <w:b/>
          <w:sz w:val="20"/>
          <w:szCs w:val="20"/>
        </w:rPr>
        <w:t>Revised by</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A51295">
        <w:rPr>
          <w:rFonts w:ascii="Tahoma" w:hAnsi="Tahoma" w:cs="Tahoma"/>
          <w:b/>
          <w:sz w:val="20"/>
          <w:szCs w:val="20"/>
        </w:rPr>
        <w:t>Revision Description</w:t>
      </w:r>
    </w:p>
    <w:p w14:paraId="33DB64D7" w14:textId="038C6C0B" w:rsidR="00A51295" w:rsidRDefault="00161E3C" w:rsidP="00191CD2">
      <w:pPr>
        <w:spacing w:after="120"/>
        <w:rPr>
          <w:rFonts w:ascii="Tahoma" w:hAnsi="Tahoma" w:cs="Tahoma"/>
          <w:sz w:val="20"/>
          <w:szCs w:val="20"/>
        </w:rPr>
      </w:pPr>
      <w:r>
        <w:rPr>
          <w:rFonts w:ascii="Tahoma" w:hAnsi="Tahoma" w:cs="Tahoma"/>
          <w:sz w:val="20"/>
          <w:szCs w:val="20"/>
        </w:rPr>
        <w:t>5/11</w:t>
      </w:r>
      <w:r w:rsidR="00A51295">
        <w:rPr>
          <w:rFonts w:ascii="Tahoma" w:hAnsi="Tahoma" w:cs="Tahoma"/>
          <w:sz w:val="20"/>
          <w:szCs w:val="20"/>
        </w:rPr>
        <w:t>/2020</w:t>
      </w:r>
      <w:r w:rsidR="00A51295">
        <w:rPr>
          <w:rFonts w:ascii="Tahoma" w:hAnsi="Tahoma" w:cs="Tahoma"/>
          <w:sz w:val="20"/>
          <w:szCs w:val="20"/>
        </w:rPr>
        <w:tab/>
      </w:r>
      <w:r w:rsidR="00A51295">
        <w:rPr>
          <w:rFonts w:ascii="Tahoma" w:hAnsi="Tahoma" w:cs="Tahoma"/>
          <w:sz w:val="20"/>
          <w:szCs w:val="20"/>
        </w:rPr>
        <w:tab/>
      </w:r>
      <w:r w:rsidR="00A51295">
        <w:rPr>
          <w:rFonts w:ascii="Tahoma" w:hAnsi="Tahoma" w:cs="Tahoma"/>
          <w:sz w:val="20"/>
          <w:szCs w:val="20"/>
        </w:rPr>
        <w:tab/>
      </w:r>
      <w:r w:rsidR="00A51295">
        <w:rPr>
          <w:rFonts w:ascii="Tahoma" w:hAnsi="Tahoma" w:cs="Tahoma"/>
          <w:sz w:val="20"/>
          <w:szCs w:val="20"/>
        </w:rPr>
        <w:tab/>
        <w:t>David Juan</w:t>
      </w:r>
      <w:r w:rsidR="00A51295">
        <w:rPr>
          <w:rFonts w:ascii="Tahoma" w:hAnsi="Tahoma" w:cs="Tahoma"/>
          <w:sz w:val="20"/>
          <w:szCs w:val="20"/>
        </w:rPr>
        <w:tab/>
      </w:r>
      <w:r w:rsidR="00A51295">
        <w:rPr>
          <w:rFonts w:ascii="Tahoma" w:hAnsi="Tahoma" w:cs="Tahoma"/>
          <w:sz w:val="20"/>
          <w:szCs w:val="20"/>
        </w:rPr>
        <w:tab/>
      </w:r>
      <w:r w:rsidR="00A51295">
        <w:rPr>
          <w:rFonts w:ascii="Tahoma" w:hAnsi="Tahoma" w:cs="Tahoma"/>
          <w:sz w:val="20"/>
          <w:szCs w:val="20"/>
        </w:rPr>
        <w:tab/>
      </w:r>
      <w:r w:rsidR="00A51295">
        <w:rPr>
          <w:rFonts w:ascii="Tahoma" w:hAnsi="Tahoma" w:cs="Tahoma"/>
          <w:sz w:val="20"/>
          <w:szCs w:val="20"/>
        </w:rPr>
        <w:tab/>
        <w:t>New</w:t>
      </w:r>
    </w:p>
    <w:p w14:paraId="3D1998FE" w14:textId="48828FD3" w:rsidR="00821E3F" w:rsidRPr="00571210" w:rsidRDefault="00821E3F" w:rsidP="00191CD2">
      <w:pPr>
        <w:spacing w:after="120"/>
        <w:rPr>
          <w:rFonts w:ascii="Tahoma" w:hAnsi="Tahoma" w:cs="Tahoma"/>
          <w:sz w:val="20"/>
          <w:szCs w:val="20"/>
        </w:rPr>
      </w:pPr>
      <w:r>
        <w:rPr>
          <w:rFonts w:ascii="Tahoma" w:hAnsi="Tahoma" w:cs="Tahoma"/>
          <w:sz w:val="20"/>
          <w:szCs w:val="20"/>
        </w:rPr>
        <w:t>5/17/2021</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David Juan</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Transportation Height</w:t>
      </w:r>
    </w:p>
    <w:sectPr w:rsidR="00821E3F" w:rsidRPr="00571210" w:rsidSect="00161E3C">
      <w:headerReference w:type="default" r:id="rId19"/>
      <w:footerReference w:type="default" r:id="rId20"/>
      <w:headerReference w:type="first" r:id="rId21"/>
      <w:footerReference w:type="first" r:id="rId22"/>
      <w:type w:val="continuous"/>
      <w:pgSz w:w="12240" w:h="15840"/>
      <w:pgMar w:top="1440" w:right="1440" w:bottom="810" w:left="1440" w:header="720" w:footer="4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A2D3B" w14:textId="77777777" w:rsidR="00D71554" w:rsidRPr="009A04F0" w:rsidRDefault="00D71554" w:rsidP="0018375E">
      <w:pPr>
        <w:rPr>
          <w:sz w:val="18"/>
          <w:szCs w:val="18"/>
        </w:rPr>
      </w:pPr>
      <w:r w:rsidRPr="009A04F0">
        <w:rPr>
          <w:sz w:val="18"/>
          <w:szCs w:val="18"/>
        </w:rPr>
        <w:separator/>
      </w:r>
    </w:p>
  </w:endnote>
  <w:endnote w:type="continuationSeparator" w:id="0">
    <w:p w14:paraId="48FDEC22" w14:textId="77777777" w:rsidR="00D71554" w:rsidRPr="009A04F0" w:rsidRDefault="00D71554" w:rsidP="0018375E">
      <w:pPr>
        <w:rPr>
          <w:sz w:val="18"/>
          <w:szCs w:val="18"/>
        </w:rPr>
      </w:pPr>
      <w:r w:rsidRPr="009A04F0">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7B8E2" w14:textId="2FADA9AF" w:rsidR="00202122" w:rsidRPr="009A04F0" w:rsidRDefault="00202122">
    <w:pPr>
      <w:pStyle w:val="Footer"/>
      <w:jc w:val="right"/>
      <w:rPr>
        <w:sz w:val="18"/>
        <w:szCs w:val="18"/>
      </w:rPr>
    </w:pPr>
    <w:r w:rsidRPr="009A04F0">
      <w:rPr>
        <w:rFonts w:ascii="Tahoma" w:hAnsi="Tahoma" w:cs="Tahoma"/>
        <w:sz w:val="12"/>
        <w:szCs w:val="12"/>
      </w:rPr>
      <w:t xml:space="preserve">Page </w:t>
    </w:r>
    <w:r w:rsidR="002469F8" w:rsidRPr="009A04F0">
      <w:rPr>
        <w:rFonts w:ascii="Tahoma" w:hAnsi="Tahoma" w:cs="Tahoma"/>
        <w:sz w:val="12"/>
        <w:szCs w:val="12"/>
      </w:rPr>
      <w:fldChar w:fldCharType="begin"/>
    </w:r>
    <w:r w:rsidRPr="009A04F0">
      <w:rPr>
        <w:rFonts w:ascii="Tahoma" w:hAnsi="Tahoma" w:cs="Tahoma"/>
        <w:sz w:val="12"/>
        <w:szCs w:val="12"/>
      </w:rPr>
      <w:instrText xml:space="preserve"> PAGE </w:instrText>
    </w:r>
    <w:r w:rsidR="002469F8" w:rsidRPr="009A04F0">
      <w:rPr>
        <w:rFonts w:ascii="Tahoma" w:hAnsi="Tahoma" w:cs="Tahoma"/>
        <w:sz w:val="12"/>
        <w:szCs w:val="12"/>
      </w:rPr>
      <w:fldChar w:fldCharType="separate"/>
    </w:r>
    <w:r w:rsidR="00EA3D1A">
      <w:rPr>
        <w:rFonts w:ascii="Tahoma" w:hAnsi="Tahoma" w:cs="Tahoma"/>
        <w:noProof/>
        <w:sz w:val="12"/>
        <w:szCs w:val="12"/>
      </w:rPr>
      <w:t>3</w:t>
    </w:r>
    <w:r w:rsidR="002469F8" w:rsidRPr="009A04F0">
      <w:rPr>
        <w:rFonts w:ascii="Tahoma" w:hAnsi="Tahoma" w:cs="Tahoma"/>
        <w:sz w:val="12"/>
        <w:szCs w:val="12"/>
      </w:rPr>
      <w:fldChar w:fldCharType="end"/>
    </w:r>
    <w:r w:rsidRPr="009A04F0">
      <w:rPr>
        <w:rFonts w:ascii="Tahoma" w:hAnsi="Tahoma" w:cs="Tahoma"/>
        <w:sz w:val="12"/>
        <w:szCs w:val="12"/>
      </w:rPr>
      <w:t xml:space="preserve"> of </w:t>
    </w:r>
    <w:r w:rsidR="002469F8" w:rsidRPr="009A04F0">
      <w:rPr>
        <w:rFonts w:ascii="Tahoma" w:hAnsi="Tahoma" w:cs="Tahoma"/>
        <w:sz w:val="12"/>
        <w:szCs w:val="12"/>
      </w:rPr>
      <w:fldChar w:fldCharType="begin"/>
    </w:r>
    <w:r w:rsidRPr="009A04F0">
      <w:rPr>
        <w:rFonts w:ascii="Tahoma" w:hAnsi="Tahoma" w:cs="Tahoma"/>
        <w:sz w:val="12"/>
        <w:szCs w:val="12"/>
      </w:rPr>
      <w:instrText xml:space="preserve"> NUMPAGES  </w:instrText>
    </w:r>
    <w:r w:rsidR="002469F8" w:rsidRPr="009A04F0">
      <w:rPr>
        <w:rFonts w:ascii="Tahoma" w:hAnsi="Tahoma" w:cs="Tahoma"/>
        <w:sz w:val="12"/>
        <w:szCs w:val="12"/>
      </w:rPr>
      <w:fldChar w:fldCharType="separate"/>
    </w:r>
    <w:r w:rsidR="00EA3D1A">
      <w:rPr>
        <w:rFonts w:ascii="Tahoma" w:hAnsi="Tahoma" w:cs="Tahoma"/>
        <w:noProof/>
        <w:sz w:val="12"/>
        <w:szCs w:val="12"/>
      </w:rPr>
      <w:t>3</w:t>
    </w:r>
    <w:r w:rsidR="002469F8" w:rsidRPr="009A04F0">
      <w:rPr>
        <w:rFonts w:ascii="Tahoma" w:hAnsi="Tahoma" w:cs="Tahoma"/>
        <w:sz w:val="12"/>
        <w:szCs w:val="12"/>
      </w:rPr>
      <w:fldChar w:fldCharType="end"/>
    </w:r>
  </w:p>
  <w:p w14:paraId="3ADC9078" w14:textId="77777777" w:rsidR="00202122" w:rsidRPr="009A04F0" w:rsidRDefault="00202122">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E4DBF" w14:textId="0B184455" w:rsidR="00202122" w:rsidRPr="00533336" w:rsidRDefault="00202122" w:rsidP="0034769C">
    <w:pPr>
      <w:jc w:val="center"/>
      <w:rPr>
        <w:rFonts w:ascii="Tahoma" w:hAnsi="Tahoma" w:cs="Tahoma"/>
        <w:sz w:val="12"/>
        <w:szCs w:val="12"/>
      </w:rPr>
    </w:pPr>
    <w:r w:rsidRPr="00533336">
      <w:rPr>
        <w:rFonts w:ascii="Tahoma" w:hAnsi="Tahoma" w:cs="Tahoma"/>
        <w:sz w:val="12"/>
        <w:szCs w:val="12"/>
      </w:rPr>
      <w:t xml:space="preserve">PODS Enterprises, </w:t>
    </w:r>
    <w:r w:rsidR="00925EA0" w:rsidRPr="00533336">
      <w:rPr>
        <w:rFonts w:ascii="Tahoma" w:hAnsi="Tahoma" w:cs="Tahoma"/>
        <w:sz w:val="12"/>
        <w:szCs w:val="12"/>
      </w:rPr>
      <w:t>LLC</w:t>
    </w:r>
    <w:r w:rsidRPr="00533336">
      <w:rPr>
        <w:rFonts w:ascii="Tahoma" w:hAnsi="Tahoma" w:cs="Tahoma"/>
        <w:sz w:val="12"/>
        <w:szCs w:val="12"/>
      </w:rPr>
      <w:t xml:space="preserve">. | </w:t>
    </w:r>
    <w:r w:rsidR="00533336" w:rsidRPr="00533336">
      <w:rPr>
        <w:rFonts w:ascii="Arial" w:eastAsiaTheme="minorEastAsia" w:hAnsi="Arial" w:cs="Arial"/>
        <w:noProof/>
        <w:color w:val="000000"/>
        <w:sz w:val="12"/>
        <w:szCs w:val="12"/>
      </w:rPr>
      <w:t xml:space="preserve">13535 Feather Sound Drive </w:t>
    </w:r>
    <w:r w:rsidR="00533336" w:rsidRPr="00533336">
      <w:rPr>
        <w:rFonts w:ascii="Tahoma" w:hAnsi="Tahoma" w:cs="Tahoma"/>
        <w:sz w:val="12"/>
        <w:szCs w:val="12"/>
      </w:rPr>
      <w:t xml:space="preserve">| Clearwater, FL </w:t>
    </w:r>
    <w:r w:rsidR="00533336" w:rsidRPr="00533336">
      <w:rPr>
        <w:rFonts w:ascii="Arial" w:eastAsiaTheme="minorEastAsia" w:hAnsi="Arial" w:cs="Arial"/>
        <w:noProof/>
        <w:color w:val="000000"/>
        <w:sz w:val="12"/>
        <w:szCs w:val="12"/>
      </w:rPr>
      <w:t>33762</w:t>
    </w:r>
    <w:r w:rsidRPr="00533336">
      <w:rPr>
        <w:rFonts w:ascii="Tahoma" w:hAnsi="Tahoma" w:cs="Tahoma"/>
        <w:sz w:val="12"/>
        <w:szCs w:val="12"/>
      </w:rPr>
      <w:t xml:space="preserve"> | 800-776-7637 | PODS.com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FAEE1" w14:textId="77777777" w:rsidR="00D71554" w:rsidRPr="009A04F0" w:rsidRDefault="00D71554" w:rsidP="0018375E">
      <w:pPr>
        <w:rPr>
          <w:sz w:val="18"/>
          <w:szCs w:val="18"/>
        </w:rPr>
      </w:pPr>
      <w:r w:rsidRPr="009A04F0">
        <w:rPr>
          <w:sz w:val="18"/>
          <w:szCs w:val="18"/>
        </w:rPr>
        <w:separator/>
      </w:r>
    </w:p>
  </w:footnote>
  <w:footnote w:type="continuationSeparator" w:id="0">
    <w:p w14:paraId="519CED27" w14:textId="77777777" w:rsidR="00D71554" w:rsidRPr="009A04F0" w:rsidRDefault="00D71554" w:rsidP="0018375E">
      <w:pPr>
        <w:rPr>
          <w:sz w:val="18"/>
          <w:szCs w:val="18"/>
        </w:rPr>
      </w:pPr>
      <w:r w:rsidRPr="009A04F0">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C7F1C" w14:textId="77777777" w:rsidR="00202122" w:rsidRPr="009A04F0" w:rsidRDefault="00202122" w:rsidP="007F6401">
    <w:pPr>
      <w:rPr>
        <w:rFonts w:ascii="Tahoma" w:hAnsi="Tahoma" w:cs="Tahoma"/>
        <w:b/>
        <w:bCs/>
        <w:sz w:val="9"/>
        <w:szCs w:val="9"/>
      </w:rPr>
    </w:pPr>
  </w:p>
  <w:p w14:paraId="124529C5" w14:textId="77777777" w:rsidR="00202122" w:rsidRPr="009A04F0" w:rsidRDefault="00202122" w:rsidP="007F6401">
    <w:pPr>
      <w:rPr>
        <w:rFonts w:ascii="Tahoma" w:hAnsi="Tahoma" w:cs="Tahoma"/>
        <w:b/>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4DBA2" w14:textId="77777777" w:rsidR="00202122" w:rsidRPr="009A04F0" w:rsidRDefault="00202122">
    <w:pPr>
      <w:pStyle w:val="Header"/>
      <w:rPr>
        <w:sz w:val="18"/>
        <w:szCs w:val="18"/>
      </w:rPr>
    </w:pPr>
    <w:r>
      <w:rPr>
        <w:noProof/>
        <w:sz w:val="18"/>
        <w:szCs w:val="18"/>
      </w:rPr>
      <w:drawing>
        <wp:inline distT="0" distB="0" distL="0" distR="0" wp14:anchorId="74544AF7" wp14:editId="60CCE0B0">
          <wp:extent cx="1760220" cy="441960"/>
          <wp:effectExtent l="19050" t="0" r="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1760220" cy="441960"/>
                  </a:xfrm>
                  <a:prstGeom prst="rect">
                    <a:avLst/>
                  </a:prstGeom>
                  <a:noFill/>
                  <a:ln w="9525">
                    <a:noFill/>
                    <a:miter lim="800000"/>
                    <a:headEnd/>
                    <a:tailEnd/>
                  </a:ln>
                </pic:spPr>
              </pic:pic>
            </a:graphicData>
          </a:graphic>
        </wp:inline>
      </w:drawing>
    </w:r>
  </w:p>
  <w:p w14:paraId="121A812A" w14:textId="77777777" w:rsidR="00202122" w:rsidRPr="009A04F0" w:rsidRDefault="00202122">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F406B"/>
    <w:multiLevelType w:val="hybridMultilevel"/>
    <w:tmpl w:val="2648F5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6665A"/>
    <w:multiLevelType w:val="hybridMultilevel"/>
    <w:tmpl w:val="D45C743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22887"/>
    <w:multiLevelType w:val="hybridMultilevel"/>
    <w:tmpl w:val="E5742B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40403F"/>
    <w:multiLevelType w:val="hybridMultilevel"/>
    <w:tmpl w:val="F1DE624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45DE8"/>
    <w:multiLevelType w:val="hybridMultilevel"/>
    <w:tmpl w:val="894CC6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632F8"/>
    <w:multiLevelType w:val="hybridMultilevel"/>
    <w:tmpl w:val="2DAEB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B36CA2"/>
    <w:multiLevelType w:val="hybridMultilevel"/>
    <w:tmpl w:val="98BAA1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73C5C"/>
    <w:multiLevelType w:val="hybridMultilevel"/>
    <w:tmpl w:val="AC6E7C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755727"/>
    <w:multiLevelType w:val="hybridMultilevel"/>
    <w:tmpl w:val="7D083C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E1A0F"/>
    <w:multiLevelType w:val="hybridMultilevel"/>
    <w:tmpl w:val="DC984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DA1420"/>
    <w:multiLevelType w:val="hybridMultilevel"/>
    <w:tmpl w:val="A984BE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D74C15"/>
    <w:multiLevelType w:val="hybridMultilevel"/>
    <w:tmpl w:val="58B6BC5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1922AF"/>
    <w:multiLevelType w:val="hybridMultilevel"/>
    <w:tmpl w:val="E1FAB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5622F5"/>
    <w:multiLevelType w:val="hybridMultilevel"/>
    <w:tmpl w:val="7282449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31491F"/>
    <w:multiLevelType w:val="hybridMultilevel"/>
    <w:tmpl w:val="151E622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3853EE"/>
    <w:multiLevelType w:val="hybridMultilevel"/>
    <w:tmpl w:val="545A84B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DF3E39"/>
    <w:multiLevelType w:val="hybridMultilevel"/>
    <w:tmpl w:val="B0BA5B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B758FB"/>
    <w:multiLevelType w:val="hybridMultilevel"/>
    <w:tmpl w:val="CAD834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55F7E"/>
    <w:multiLevelType w:val="hybridMultilevel"/>
    <w:tmpl w:val="49DE4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CB509B"/>
    <w:multiLevelType w:val="hybridMultilevel"/>
    <w:tmpl w:val="09E4BD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8E1618"/>
    <w:multiLevelType w:val="hybridMultilevel"/>
    <w:tmpl w:val="AF943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A17FB7"/>
    <w:multiLevelType w:val="hybridMultilevel"/>
    <w:tmpl w:val="179624A2"/>
    <w:lvl w:ilvl="0" w:tplc="EFEAA0FA">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EC0521"/>
    <w:multiLevelType w:val="hybridMultilevel"/>
    <w:tmpl w:val="C680B2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60CB5"/>
    <w:multiLevelType w:val="hybridMultilevel"/>
    <w:tmpl w:val="03A04C26"/>
    <w:lvl w:ilvl="0" w:tplc="01DE0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2A51FB"/>
    <w:multiLevelType w:val="hybridMultilevel"/>
    <w:tmpl w:val="A7722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FF6C8E"/>
    <w:multiLevelType w:val="hybridMultilevel"/>
    <w:tmpl w:val="B63EFD2A"/>
    <w:lvl w:ilvl="0" w:tplc="0409000B">
      <w:start w:val="1"/>
      <w:numFmt w:val="bullet"/>
      <w:lvlText w:val=""/>
      <w:lvlJc w:val="left"/>
      <w:pPr>
        <w:tabs>
          <w:tab w:val="num" w:pos="720"/>
        </w:tabs>
        <w:ind w:left="720" w:hanging="360"/>
      </w:pPr>
      <w:rPr>
        <w:rFonts w:ascii="Wingdings" w:hAnsi="Wingdings" w:hint="default"/>
      </w:rPr>
    </w:lvl>
    <w:lvl w:ilvl="1" w:tplc="123848DC">
      <w:start w:val="1"/>
      <w:numFmt w:val="bullet"/>
      <w:lvlText w:val=""/>
      <w:lvlJc w:val="left"/>
      <w:pPr>
        <w:tabs>
          <w:tab w:val="num" w:pos="1440"/>
        </w:tabs>
        <w:ind w:left="1440" w:hanging="360"/>
      </w:pPr>
      <w:rPr>
        <w:rFonts w:ascii="Wingdings" w:hAnsi="Wingdings" w:hint="default"/>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E02A3F"/>
    <w:multiLevelType w:val="hybridMultilevel"/>
    <w:tmpl w:val="DD46686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E3E47"/>
    <w:multiLevelType w:val="hybridMultilevel"/>
    <w:tmpl w:val="C7F22244"/>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8" w15:restartNumberingAfterBreak="0">
    <w:nsid w:val="767A6F84"/>
    <w:multiLevelType w:val="hybridMultilevel"/>
    <w:tmpl w:val="BBCACAD2"/>
    <w:lvl w:ilvl="0" w:tplc="6042426A">
      <w:start w:val="1"/>
      <w:numFmt w:val="decimal"/>
      <w:lvlText w:val="%1."/>
      <w:lvlJc w:val="left"/>
      <w:pPr>
        <w:ind w:left="360" w:hanging="360"/>
      </w:pPr>
      <w:rPr>
        <w:rFonts w:asciiTheme="minorHAnsi" w:hAnsiTheme="minorHAnsi" w:cstheme="minorHAnsi" w:hint="default"/>
        <w:sz w:val="20"/>
        <w:szCs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7F53D9D"/>
    <w:multiLevelType w:val="hybridMultilevel"/>
    <w:tmpl w:val="D4BE24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8"/>
  </w:num>
  <w:num w:numId="4">
    <w:abstractNumId w:val="2"/>
  </w:num>
  <w:num w:numId="5">
    <w:abstractNumId w:val="10"/>
  </w:num>
  <w:num w:numId="6">
    <w:abstractNumId w:val="27"/>
  </w:num>
  <w:num w:numId="7">
    <w:abstractNumId w:val="12"/>
  </w:num>
  <w:num w:numId="8">
    <w:abstractNumId w:val="4"/>
  </w:num>
  <w:num w:numId="9">
    <w:abstractNumId w:val="15"/>
  </w:num>
  <w:num w:numId="10">
    <w:abstractNumId w:val="3"/>
  </w:num>
  <w:num w:numId="11">
    <w:abstractNumId w:val="11"/>
  </w:num>
  <w:num w:numId="12">
    <w:abstractNumId w:val="25"/>
  </w:num>
  <w:num w:numId="13">
    <w:abstractNumId w:val="26"/>
  </w:num>
  <w:num w:numId="14">
    <w:abstractNumId w:val="13"/>
  </w:num>
  <w:num w:numId="15">
    <w:abstractNumId w:val="18"/>
  </w:num>
  <w:num w:numId="16">
    <w:abstractNumId w:val="24"/>
  </w:num>
  <w:num w:numId="17">
    <w:abstractNumId w:val="9"/>
  </w:num>
  <w:num w:numId="18">
    <w:abstractNumId w:val="28"/>
  </w:num>
  <w:num w:numId="19">
    <w:abstractNumId w:val="6"/>
  </w:num>
  <w:num w:numId="20">
    <w:abstractNumId w:val="7"/>
  </w:num>
  <w:num w:numId="21">
    <w:abstractNumId w:val="1"/>
  </w:num>
  <w:num w:numId="22">
    <w:abstractNumId w:val="19"/>
  </w:num>
  <w:num w:numId="23">
    <w:abstractNumId w:val="17"/>
  </w:num>
  <w:num w:numId="24">
    <w:abstractNumId w:val="22"/>
  </w:num>
  <w:num w:numId="25">
    <w:abstractNumId w:val="29"/>
  </w:num>
  <w:num w:numId="26">
    <w:abstractNumId w:val="21"/>
  </w:num>
  <w:num w:numId="27">
    <w:abstractNumId w:val="14"/>
  </w:num>
  <w:num w:numId="28">
    <w:abstractNumId w:val="23"/>
  </w:num>
  <w:num w:numId="29">
    <w:abstractNumId w:val="5"/>
  </w:num>
  <w:num w:numId="30">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87F"/>
    <w:rsid w:val="000001D7"/>
    <w:rsid w:val="00000701"/>
    <w:rsid w:val="00004008"/>
    <w:rsid w:val="0001018B"/>
    <w:rsid w:val="000117C7"/>
    <w:rsid w:val="000141F0"/>
    <w:rsid w:val="0001721E"/>
    <w:rsid w:val="0002078A"/>
    <w:rsid w:val="00022DD7"/>
    <w:rsid w:val="0003006C"/>
    <w:rsid w:val="0003395F"/>
    <w:rsid w:val="00040F48"/>
    <w:rsid w:val="00045B1E"/>
    <w:rsid w:val="00053638"/>
    <w:rsid w:val="00057755"/>
    <w:rsid w:val="00057DF9"/>
    <w:rsid w:val="000603E6"/>
    <w:rsid w:val="00061FAA"/>
    <w:rsid w:val="00065328"/>
    <w:rsid w:val="00071794"/>
    <w:rsid w:val="00076F5F"/>
    <w:rsid w:val="00077036"/>
    <w:rsid w:val="00081015"/>
    <w:rsid w:val="00083030"/>
    <w:rsid w:val="00084FB9"/>
    <w:rsid w:val="00094282"/>
    <w:rsid w:val="000A5BBC"/>
    <w:rsid w:val="000B1F2E"/>
    <w:rsid w:val="000B2932"/>
    <w:rsid w:val="000B2E09"/>
    <w:rsid w:val="000B4310"/>
    <w:rsid w:val="000B4E23"/>
    <w:rsid w:val="000B5F23"/>
    <w:rsid w:val="000B6439"/>
    <w:rsid w:val="000B7E5E"/>
    <w:rsid w:val="000D5390"/>
    <w:rsid w:val="000E2B2E"/>
    <w:rsid w:val="000F5ADD"/>
    <w:rsid w:val="00102AA5"/>
    <w:rsid w:val="0010549C"/>
    <w:rsid w:val="001100AD"/>
    <w:rsid w:val="00122CA9"/>
    <w:rsid w:val="00127CEC"/>
    <w:rsid w:val="0013582E"/>
    <w:rsid w:val="00141577"/>
    <w:rsid w:val="00144B62"/>
    <w:rsid w:val="00154BAA"/>
    <w:rsid w:val="00154CC7"/>
    <w:rsid w:val="00154E41"/>
    <w:rsid w:val="00155B09"/>
    <w:rsid w:val="00161ABA"/>
    <w:rsid w:val="00161E3C"/>
    <w:rsid w:val="00162B0F"/>
    <w:rsid w:val="00165EDD"/>
    <w:rsid w:val="00166B9E"/>
    <w:rsid w:val="001673E8"/>
    <w:rsid w:val="001676B4"/>
    <w:rsid w:val="00171D4F"/>
    <w:rsid w:val="001741A1"/>
    <w:rsid w:val="001751FB"/>
    <w:rsid w:val="00180179"/>
    <w:rsid w:val="00180628"/>
    <w:rsid w:val="0018375E"/>
    <w:rsid w:val="001854F4"/>
    <w:rsid w:val="00191CD2"/>
    <w:rsid w:val="00196E17"/>
    <w:rsid w:val="00197C57"/>
    <w:rsid w:val="001A104D"/>
    <w:rsid w:val="001A128C"/>
    <w:rsid w:val="001B645F"/>
    <w:rsid w:val="001B6A05"/>
    <w:rsid w:val="001C016A"/>
    <w:rsid w:val="001C1ECB"/>
    <w:rsid w:val="001C2F8C"/>
    <w:rsid w:val="001C43DD"/>
    <w:rsid w:val="001D029E"/>
    <w:rsid w:val="001D0CD3"/>
    <w:rsid w:val="001D1AEF"/>
    <w:rsid w:val="001D3B4E"/>
    <w:rsid w:val="001E2A04"/>
    <w:rsid w:val="001F5523"/>
    <w:rsid w:val="001F605B"/>
    <w:rsid w:val="001F6AB7"/>
    <w:rsid w:val="001F7A61"/>
    <w:rsid w:val="002011FD"/>
    <w:rsid w:val="00202122"/>
    <w:rsid w:val="0020729B"/>
    <w:rsid w:val="002104D0"/>
    <w:rsid w:val="00216E0C"/>
    <w:rsid w:val="00220FC3"/>
    <w:rsid w:val="00221235"/>
    <w:rsid w:val="0023002C"/>
    <w:rsid w:val="00231C60"/>
    <w:rsid w:val="00231EEE"/>
    <w:rsid w:val="002450BE"/>
    <w:rsid w:val="002469F8"/>
    <w:rsid w:val="00246E26"/>
    <w:rsid w:val="002512B2"/>
    <w:rsid w:val="0025434F"/>
    <w:rsid w:val="0025700F"/>
    <w:rsid w:val="00263B50"/>
    <w:rsid w:val="00267A25"/>
    <w:rsid w:val="0027505C"/>
    <w:rsid w:val="00275F40"/>
    <w:rsid w:val="00281F73"/>
    <w:rsid w:val="0029117B"/>
    <w:rsid w:val="002962A7"/>
    <w:rsid w:val="002A47DE"/>
    <w:rsid w:val="002B2C43"/>
    <w:rsid w:val="002B336D"/>
    <w:rsid w:val="002B539E"/>
    <w:rsid w:val="002B732E"/>
    <w:rsid w:val="002C08A6"/>
    <w:rsid w:val="002C36FC"/>
    <w:rsid w:val="002D33C9"/>
    <w:rsid w:val="002D67F8"/>
    <w:rsid w:val="002E3DBB"/>
    <w:rsid w:val="002E6BF2"/>
    <w:rsid w:val="002F3184"/>
    <w:rsid w:val="002F45EA"/>
    <w:rsid w:val="00301398"/>
    <w:rsid w:val="003061F9"/>
    <w:rsid w:val="00310E10"/>
    <w:rsid w:val="0031425D"/>
    <w:rsid w:val="00324174"/>
    <w:rsid w:val="0032635E"/>
    <w:rsid w:val="003275C9"/>
    <w:rsid w:val="00330FDF"/>
    <w:rsid w:val="003367EF"/>
    <w:rsid w:val="00343297"/>
    <w:rsid w:val="00343559"/>
    <w:rsid w:val="0034769C"/>
    <w:rsid w:val="003504BF"/>
    <w:rsid w:val="0035379E"/>
    <w:rsid w:val="00356016"/>
    <w:rsid w:val="0035732C"/>
    <w:rsid w:val="00360722"/>
    <w:rsid w:val="00360DD3"/>
    <w:rsid w:val="00364151"/>
    <w:rsid w:val="003652C7"/>
    <w:rsid w:val="003654AA"/>
    <w:rsid w:val="0037102F"/>
    <w:rsid w:val="00386C3B"/>
    <w:rsid w:val="0039165C"/>
    <w:rsid w:val="00391F94"/>
    <w:rsid w:val="0039374E"/>
    <w:rsid w:val="003A5D6A"/>
    <w:rsid w:val="003B00B6"/>
    <w:rsid w:val="003B5F6C"/>
    <w:rsid w:val="003C0A23"/>
    <w:rsid w:val="003C254B"/>
    <w:rsid w:val="003C3E28"/>
    <w:rsid w:val="003D100A"/>
    <w:rsid w:val="003D28DD"/>
    <w:rsid w:val="003D4132"/>
    <w:rsid w:val="003E0919"/>
    <w:rsid w:val="003E1F80"/>
    <w:rsid w:val="003E248D"/>
    <w:rsid w:val="003E3063"/>
    <w:rsid w:val="003E584C"/>
    <w:rsid w:val="003F187F"/>
    <w:rsid w:val="003F5B48"/>
    <w:rsid w:val="0040344D"/>
    <w:rsid w:val="004056CB"/>
    <w:rsid w:val="00406155"/>
    <w:rsid w:val="00410046"/>
    <w:rsid w:val="0041184F"/>
    <w:rsid w:val="00415E1A"/>
    <w:rsid w:val="00421CBA"/>
    <w:rsid w:val="00427424"/>
    <w:rsid w:val="0043257D"/>
    <w:rsid w:val="00432F5E"/>
    <w:rsid w:val="00434E9D"/>
    <w:rsid w:val="00442276"/>
    <w:rsid w:val="004426F8"/>
    <w:rsid w:val="00443948"/>
    <w:rsid w:val="00443A9B"/>
    <w:rsid w:val="00444301"/>
    <w:rsid w:val="00451FB6"/>
    <w:rsid w:val="00453866"/>
    <w:rsid w:val="00460F42"/>
    <w:rsid w:val="004704EE"/>
    <w:rsid w:val="0047594F"/>
    <w:rsid w:val="00485499"/>
    <w:rsid w:val="004901F8"/>
    <w:rsid w:val="0049194C"/>
    <w:rsid w:val="0049322C"/>
    <w:rsid w:val="00493938"/>
    <w:rsid w:val="004A097F"/>
    <w:rsid w:val="004A1913"/>
    <w:rsid w:val="004A24BE"/>
    <w:rsid w:val="004B563F"/>
    <w:rsid w:val="004B684D"/>
    <w:rsid w:val="004C0421"/>
    <w:rsid w:val="004D6A63"/>
    <w:rsid w:val="004E0479"/>
    <w:rsid w:val="004E4A06"/>
    <w:rsid w:val="004F3887"/>
    <w:rsid w:val="005118C2"/>
    <w:rsid w:val="005129FA"/>
    <w:rsid w:val="00516C1A"/>
    <w:rsid w:val="00516F4E"/>
    <w:rsid w:val="00522433"/>
    <w:rsid w:val="00525237"/>
    <w:rsid w:val="00525ABF"/>
    <w:rsid w:val="00533336"/>
    <w:rsid w:val="005346EE"/>
    <w:rsid w:val="00536A67"/>
    <w:rsid w:val="005411AB"/>
    <w:rsid w:val="00541823"/>
    <w:rsid w:val="005441B9"/>
    <w:rsid w:val="00545C0D"/>
    <w:rsid w:val="00546B21"/>
    <w:rsid w:val="00554085"/>
    <w:rsid w:val="00554593"/>
    <w:rsid w:val="00556D50"/>
    <w:rsid w:val="00564030"/>
    <w:rsid w:val="005647F5"/>
    <w:rsid w:val="00565873"/>
    <w:rsid w:val="00571210"/>
    <w:rsid w:val="00581563"/>
    <w:rsid w:val="00586579"/>
    <w:rsid w:val="005915CB"/>
    <w:rsid w:val="005A7274"/>
    <w:rsid w:val="005A7849"/>
    <w:rsid w:val="005B44D9"/>
    <w:rsid w:val="005B6542"/>
    <w:rsid w:val="005C27B3"/>
    <w:rsid w:val="005C5E02"/>
    <w:rsid w:val="005C702F"/>
    <w:rsid w:val="005D10B1"/>
    <w:rsid w:val="005D5355"/>
    <w:rsid w:val="005E21F3"/>
    <w:rsid w:val="005E638E"/>
    <w:rsid w:val="005F1D87"/>
    <w:rsid w:val="00601B68"/>
    <w:rsid w:val="00606223"/>
    <w:rsid w:val="006123A4"/>
    <w:rsid w:val="00612DBC"/>
    <w:rsid w:val="00612F3B"/>
    <w:rsid w:val="00625BF1"/>
    <w:rsid w:val="0063241D"/>
    <w:rsid w:val="0064594B"/>
    <w:rsid w:val="006649BD"/>
    <w:rsid w:val="0066550C"/>
    <w:rsid w:val="00665E84"/>
    <w:rsid w:val="00666C66"/>
    <w:rsid w:val="006678FF"/>
    <w:rsid w:val="00681994"/>
    <w:rsid w:val="006840E7"/>
    <w:rsid w:val="00684BF1"/>
    <w:rsid w:val="0068674C"/>
    <w:rsid w:val="0069029E"/>
    <w:rsid w:val="006916CD"/>
    <w:rsid w:val="006922F5"/>
    <w:rsid w:val="006940D0"/>
    <w:rsid w:val="006942E7"/>
    <w:rsid w:val="006B0C8B"/>
    <w:rsid w:val="006B3FAE"/>
    <w:rsid w:val="006B58C3"/>
    <w:rsid w:val="006C06F5"/>
    <w:rsid w:val="006C281F"/>
    <w:rsid w:val="006C2BCA"/>
    <w:rsid w:val="006C3148"/>
    <w:rsid w:val="006D54F1"/>
    <w:rsid w:val="006E0FB4"/>
    <w:rsid w:val="006E17C9"/>
    <w:rsid w:val="006F2F08"/>
    <w:rsid w:val="006F4739"/>
    <w:rsid w:val="006F76C6"/>
    <w:rsid w:val="007005B9"/>
    <w:rsid w:val="0070732F"/>
    <w:rsid w:val="007110E2"/>
    <w:rsid w:val="00711B5D"/>
    <w:rsid w:val="00716E03"/>
    <w:rsid w:val="00720541"/>
    <w:rsid w:val="007206A2"/>
    <w:rsid w:val="007264E6"/>
    <w:rsid w:val="007269B4"/>
    <w:rsid w:val="007275DB"/>
    <w:rsid w:val="0075305B"/>
    <w:rsid w:val="00753733"/>
    <w:rsid w:val="0075480B"/>
    <w:rsid w:val="00766798"/>
    <w:rsid w:val="00767562"/>
    <w:rsid w:val="00777D4D"/>
    <w:rsid w:val="0078518F"/>
    <w:rsid w:val="007854AB"/>
    <w:rsid w:val="00792A45"/>
    <w:rsid w:val="0079414B"/>
    <w:rsid w:val="007A08FA"/>
    <w:rsid w:val="007A1DBE"/>
    <w:rsid w:val="007A4D10"/>
    <w:rsid w:val="007A5E92"/>
    <w:rsid w:val="007A7895"/>
    <w:rsid w:val="007B21A7"/>
    <w:rsid w:val="007B4FA8"/>
    <w:rsid w:val="007B77D1"/>
    <w:rsid w:val="007C14F5"/>
    <w:rsid w:val="007C5B94"/>
    <w:rsid w:val="007C7916"/>
    <w:rsid w:val="007D452C"/>
    <w:rsid w:val="007D5868"/>
    <w:rsid w:val="007D776F"/>
    <w:rsid w:val="007E2EF2"/>
    <w:rsid w:val="007E3B23"/>
    <w:rsid w:val="007F6401"/>
    <w:rsid w:val="008000F2"/>
    <w:rsid w:val="00800767"/>
    <w:rsid w:val="00802BC0"/>
    <w:rsid w:val="008052D8"/>
    <w:rsid w:val="008067C5"/>
    <w:rsid w:val="0081577F"/>
    <w:rsid w:val="00815A1D"/>
    <w:rsid w:val="0081754C"/>
    <w:rsid w:val="00817798"/>
    <w:rsid w:val="00820C50"/>
    <w:rsid w:val="00820DC0"/>
    <w:rsid w:val="00821E3F"/>
    <w:rsid w:val="00823133"/>
    <w:rsid w:val="008277B8"/>
    <w:rsid w:val="008278D4"/>
    <w:rsid w:val="008279B7"/>
    <w:rsid w:val="0083375D"/>
    <w:rsid w:val="0084304B"/>
    <w:rsid w:val="00850610"/>
    <w:rsid w:val="00851DE4"/>
    <w:rsid w:val="008649B2"/>
    <w:rsid w:val="00864A95"/>
    <w:rsid w:val="00865283"/>
    <w:rsid w:val="00874175"/>
    <w:rsid w:val="00875B2B"/>
    <w:rsid w:val="00880B4A"/>
    <w:rsid w:val="00887AC7"/>
    <w:rsid w:val="00892021"/>
    <w:rsid w:val="00893577"/>
    <w:rsid w:val="008A281D"/>
    <w:rsid w:val="008A50D5"/>
    <w:rsid w:val="008A6D3E"/>
    <w:rsid w:val="008B1DE3"/>
    <w:rsid w:val="008B21D9"/>
    <w:rsid w:val="008C1C50"/>
    <w:rsid w:val="008E05E5"/>
    <w:rsid w:val="008E5ADC"/>
    <w:rsid w:val="008E7E07"/>
    <w:rsid w:val="008F3F0B"/>
    <w:rsid w:val="0090129F"/>
    <w:rsid w:val="009048E7"/>
    <w:rsid w:val="00906FDC"/>
    <w:rsid w:val="00915668"/>
    <w:rsid w:val="009157EB"/>
    <w:rsid w:val="009217C0"/>
    <w:rsid w:val="00925EA0"/>
    <w:rsid w:val="00935700"/>
    <w:rsid w:val="009632FE"/>
    <w:rsid w:val="0096743F"/>
    <w:rsid w:val="00967C51"/>
    <w:rsid w:val="00975856"/>
    <w:rsid w:val="00977FAF"/>
    <w:rsid w:val="00980E8C"/>
    <w:rsid w:val="00984E34"/>
    <w:rsid w:val="009910AC"/>
    <w:rsid w:val="00995106"/>
    <w:rsid w:val="0099578A"/>
    <w:rsid w:val="009A04F0"/>
    <w:rsid w:val="009A2A8C"/>
    <w:rsid w:val="009A7F56"/>
    <w:rsid w:val="009B2CE0"/>
    <w:rsid w:val="009B44DA"/>
    <w:rsid w:val="009B471C"/>
    <w:rsid w:val="009B7498"/>
    <w:rsid w:val="009B7EC2"/>
    <w:rsid w:val="009B7F6B"/>
    <w:rsid w:val="009C3EA7"/>
    <w:rsid w:val="009C45B5"/>
    <w:rsid w:val="009C7D63"/>
    <w:rsid w:val="009D01E1"/>
    <w:rsid w:val="009D30CF"/>
    <w:rsid w:val="009E5B57"/>
    <w:rsid w:val="009F57A2"/>
    <w:rsid w:val="009F58D6"/>
    <w:rsid w:val="00A05FCC"/>
    <w:rsid w:val="00A07B02"/>
    <w:rsid w:val="00A13F15"/>
    <w:rsid w:val="00A221D4"/>
    <w:rsid w:val="00A26B69"/>
    <w:rsid w:val="00A304F4"/>
    <w:rsid w:val="00A33372"/>
    <w:rsid w:val="00A335AE"/>
    <w:rsid w:val="00A40658"/>
    <w:rsid w:val="00A40904"/>
    <w:rsid w:val="00A44541"/>
    <w:rsid w:val="00A4466E"/>
    <w:rsid w:val="00A461B4"/>
    <w:rsid w:val="00A461C7"/>
    <w:rsid w:val="00A47CB3"/>
    <w:rsid w:val="00A50F50"/>
    <w:rsid w:val="00A51295"/>
    <w:rsid w:val="00A524F5"/>
    <w:rsid w:val="00A54F53"/>
    <w:rsid w:val="00A57B75"/>
    <w:rsid w:val="00A60665"/>
    <w:rsid w:val="00A65AF9"/>
    <w:rsid w:val="00A7544C"/>
    <w:rsid w:val="00A80DFB"/>
    <w:rsid w:val="00A81EAB"/>
    <w:rsid w:val="00A91B24"/>
    <w:rsid w:val="00AA1A67"/>
    <w:rsid w:val="00AA40D4"/>
    <w:rsid w:val="00AB4A83"/>
    <w:rsid w:val="00AC170E"/>
    <w:rsid w:val="00AC3595"/>
    <w:rsid w:val="00AC392A"/>
    <w:rsid w:val="00AD256B"/>
    <w:rsid w:val="00AD353F"/>
    <w:rsid w:val="00AD49A7"/>
    <w:rsid w:val="00AD7A76"/>
    <w:rsid w:val="00AE2168"/>
    <w:rsid w:val="00AE4987"/>
    <w:rsid w:val="00AE4AC8"/>
    <w:rsid w:val="00AE6072"/>
    <w:rsid w:val="00AE6CBE"/>
    <w:rsid w:val="00AF5B2B"/>
    <w:rsid w:val="00AF6B58"/>
    <w:rsid w:val="00B01E42"/>
    <w:rsid w:val="00B0311D"/>
    <w:rsid w:val="00B24867"/>
    <w:rsid w:val="00B26DE9"/>
    <w:rsid w:val="00B27244"/>
    <w:rsid w:val="00B4083C"/>
    <w:rsid w:val="00B41AA3"/>
    <w:rsid w:val="00B42012"/>
    <w:rsid w:val="00B618BB"/>
    <w:rsid w:val="00B63151"/>
    <w:rsid w:val="00B63402"/>
    <w:rsid w:val="00B650C0"/>
    <w:rsid w:val="00B67B62"/>
    <w:rsid w:val="00B71CA4"/>
    <w:rsid w:val="00B74C05"/>
    <w:rsid w:val="00B76ABE"/>
    <w:rsid w:val="00B84021"/>
    <w:rsid w:val="00B859CF"/>
    <w:rsid w:val="00B86882"/>
    <w:rsid w:val="00B92654"/>
    <w:rsid w:val="00B92EBD"/>
    <w:rsid w:val="00B96BF7"/>
    <w:rsid w:val="00B97A25"/>
    <w:rsid w:val="00BA00E2"/>
    <w:rsid w:val="00BA04BD"/>
    <w:rsid w:val="00BA7B34"/>
    <w:rsid w:val="00BA7F88"/>
    <w:rsid w:val="00BB186E"/>
    <w:rsid w:val="00BB40CC"/>
    <w:rsid w:val="00BC76B5"/>
    <w:rsid w:val="00BD0880"/>
    <w:rsid w:val="00BD3AE2"/>
    <w:rsid w:val="00BD7228"/>
    <w:rsid w:val="00BE444B"/>
    <w:rsid w:val="00BE4D09"/>
    <w:rsid w:val="00BE6BA8"/>
    <w:rsid w:val="00BF2201"/>
    <w:rsid w:val="00BF4417"/>
    <w:rsid w:val="00C035FF"/>
    <w:rsid w:val="00C057D0"/>
    <w:rsid w:val="00C06711"/>
    <w:rsid w:val="00C12798"/>
    <w:rsid w:val="00C234D9"/>
    <w:rsid w:val="00C23AA7"/>
    <w:rsid w:val="00C2789B"/>
    <w:rsid w:val="00C31707"/>
    <w:rsid w:val="00C357E5"/>
    <w:rsid w:val="00C44D59"/>
    <w:rsid w:val="00C470C1"/>
    <w:rsid w:val="00C53BA4"/>
    <w:rsid w:val="00C55304"/>
    <w:rsid w:val="00C63276"/>
    <w:rsid w:val="00C637EA"/>
    <w:rsid w:val="00C67D48"/>
    <w:rsid w:val="00C711F1"/>
    <w:rsid w:val="00C750EA"/>
    <w:rsid w:val="00C80A70"/>
    <w:rsid w:val="00C836D5"/>
    <w:rsid w:val="00C8799C"/>
    <w:rsid w:val="00C90593"/>
    <w:rsid w:val="00C9148D"/>
    <w:rsid w:val="00C96A7F"/>
    <w:rsid w:val="00C976F4"/>
    <w:rsid w:val="00C97C89"/>
    <w:rsid w:val="00CA1F51"/>
    <w:rsid w:val="00CA45D9"/>
    <w:rsid w:val="00CA4FF7"/>
    <w:rsid w:val="00CB51F3"/>
    <w:rsid w:val="00CB619C"/>
    <w:rsid w:val="00CC2191"/>
    <w:rsid w:val="00CC6855"/>
    <w:rsid w:val="00CC7CDA"/>
    <w:rsid w:val="00CD1B1C"/>
    <w:rsid w:val="00CE2D28"/>
    <w:rsid w:val="00CE4688"/>
    <w:rsid w:val="00CE5880"/>
    <w:rsid w:val="00CF0F57"/>
    <w:rsid w:val="00D03E56"/>
    <w:rsid w:val="00D06D20"/>
    <w:rsid w:val="00D106B2"/>
    <w:rsid w:val="00D139C3"/>
    <w:rsid w:val="00D14518"/>
    <w:rsid w:val="00D158D5"/>
    <w:rsid w:val="00D1768F"/>
    <w:rsid w:val="00D20D83"/>
    <w:rsid w:val="00D25C4F"/>
    <w:rsid w:val="00D26343"/>
    <w:rsid w:val="00D26702"/>
    <w:rsid w:val="00D2692E"/>
    <w:rsid w:val="00D347E7"/>
    <w:rsid w:val="00D34FB7"/>
    <w:rsid w:val="00D351D3"/>
    <w:rsid w:val="00D40AF2"/>
    <w:rsid w:val="00D45A29"/>
    <w:rsid w:val="00D46547"/>
    <w:rsid w:val="00D572D4"/>
    <w:rsid w:val="00D64355"/>
    <w:rsid w:val="00D67A4F"/>
    <w:rsid w:val="00D67C42"/>
    <w:rsid w:val="00D71554"/>
    <w:rsid w:val="00D71B6C"/>
    <w:rsid w:val="00D83A44"/>
    <w:rsid w:val="00D845A8"/>
    <w:rsid w:val="00D84F89"/>
    <w:rsid w:val="00D90105"/>
    <w:rsid w:val="00D962FF"/>
    <w:rsid w:val="00DA16D7"/>
    <w:rsid w:val="00DB1012"/>
    <w:rsid w:val="00DB1D00"/>
    <w:rsid w:val="00DB3C68"/>
    <w:rsid w:val="00DC1C44"/>
    <w:rsid w:val="00DD0C0A"/>
    <w:rsid w:val="00DD1E37"/>
    <w:rsid w:val="00DD69ED"/>
    <w:rsid w:val="00DE0682"/>
    <w:rsid w:val="00DE3BF3"/>
    <w:rsid w:val="00DE63C7"/>
    <w:rsid w:val="00DF38A4"/>
    <w:rsid w:val="00DF401A"/>
    <w:rsid w:val="00E012AD"/>
    <w:rsid w:val="00E05A91"/>
    <w:rsid w:val="00E10C2B"/>
    <w:rsid w:val="00E1211B"/>
    <w:rsid w:val="00E13681"/>
    <w:rsid w:val="00E13B3F"/>
    <w:rsid w:val="00E15EE4"/>
    <w:rsid w:val="00E1719A"/>
    <w:rsid w:val="00E21438"/>
    <w:rsid w:val="00E21B4A"/>
    <w:rsid w:val="00E25AA1"/>
    <w:rsid w:val="00E25BA1"/>
    <w:rsid w:val="00E271E2"/>
    <w:rsid w:val="00E313DA"/>
    <w:rsid w:val="00E33021"/>
    <w:rsid w:val="00E33776"/>
    <w:rsid w:val="00E40655"/>
    <w:rsid w:val="00E40E26"/>
    <w:rsid w:val="00E4344D"/>
    <w:rsid w:val="00E446DE"/>
    <w:rsid w:val="00E544FE"/>
    <w:rsid w:val="00E54BB1"/>
    <w:rsid w:val="00E671F2"/>
    <w:rsid w:val="00E73A66"/>
    <w:rsid w:val="00E73A99"/>
    <w:rsid w:val="00E77544"/>
    <w:rsid w:val="00E80336"/>
    <w:rsid w:val="00E85D10"/>
    <w:rsid w:val="00E9299B"/>
    <w:rsid w:val="00EA01CF"/>
    <w:rsid w:val="00EA1CFA"/>
    <w:rsid w:val="00EA2A86"/>
    <w:rsid w:val="00EA2F4F"/>
    <w:rsid w:val="00EA3D1A"/>
    <w:rsid w:val="00EA40ED"/>
    <w:rsid w:val="00EA45E0"/>
    <w:rsid w:val="00EA6998"/>
    <w:rsid w:val="00EC2DD8"/>
    <w:rsid w:val="00EC2E2F"/>
    <w:rsid w:val="00EC3F60"/>
    <w:rsid w:val="00EC4B68"/>
    <w:rsid w:val="00EC685A"/>
    <w:rsid w:val="00ED05D7"/>
    <w:rsid w:val="00ED074D"/>
    <w:rsid w:val="00ED22F9"/>
    <w:rsid w:val="00ED41EB"/>
    <w:rsid w:val="00ED58D9"/>
    <w:rsid w:val="00ED656A"/>
    <w:rsid w:val="00EE0ACF"/>
    <w:rsid w:val="00EE5C29"/>
    <w:rsid w:val="00EE6CBD"/>
    <w:rsid w:val="00EF4B3C"/>
    <w:rsid w:val="00F03F9B"/>
    <w:rsid w:val="00F04910"/>
    <w:rsid w:val="00F06339"/>
    <w:rsid w:val="00F1529F"/>
    <w:rsid w:val="00F2183B"/>
    <w:rsid w:val="00F2298F"/>
    <w:rsid w:val="00F3057C"/>
    <w:rsid w:val="00F317DF"/>
    <w:rsid w:val="00F322A8"/>
    <w:rsid w:val="00F34CAA"/>
    <w:rsid w:val="00F40DFD"/>
    <w:rsid w:val="00F4354A"/>
    <w:rsid w:val="00F47EAA"/>
    <w:rsid w:val="00F47F57"/>
    <w:rsid w:val="00F5430C"/>
    <w:rsid w:val="00F547DE"/>
    <w:rsid w:val="00F54EB2"/>
    <w:rsid w:val="00F55C12"/>
    <w:rsid w:val="00F57C22"/>
    <w:rsid w:val="00F715EA"/>
    <w:rsid w:val="00F864E9"/>
    <w:rsid w:val="00F866A4"/>
    <w:rsid w:val="00F9061B"/>
    <w:rsid w:val="00F91F04"/>
    <w:rsid w:val="00F941FB"/>
    <w:rsid w:val="00F94B2F"/>
    <w:rsid w:val="00F960E4"/>
    <w:rsid w:val="00FA3408"/>
    <w:rsid w:val="00FB1B3C"/>
    <w:rsid w:val="00FC4E50"/>
    <w:rsid w:val="00FD4888"/>
    <w:rsid w:val="00FE0259"/>
    <w:rsid w:val="00FE07E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D89740D"/>
  <w15:docId w15:val="{2CD2B2FA-EC15-4BDC-96AE-D99E2FEF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CAA"/>
    <w:rPr>
      <w:sz w:val="24"/>
      <w:szCs w:val="24"/>
    </w:rPr>
  </w:style>
  <w:style w:type="paragraph" w:styleId="Heading1">
    <w:name w:val="heading 1"/>
    <w:basedOn w:val="Normal"/>
    <w:next w:val="Normal"/>
    <w:link w:val="Heading1Char"/>
    <w:qFormat/>
    <w:locked/>
    <w:rsid w:val="00D845A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53BA4"/>
    <w:rPr>
      <w:rFonts w:cs="Times New Roman"/>
      <w:color w:val="0000FF"/>
      <w:u w:val="single"/>
    </w:rPr>
  </w:style>
  <w:style w:type="table" w:styleId="TableGrid">
    <w:name w:val="Table Grid"/>
    <w:basedOn w:val="TableNormal"/>
    <w:uiPriority w:val="99"/>
    <w:rsid w:val="00F9061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101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6882"/>
    <w:rPr>
      <w:rFonts w:cs="Times New Roman"/>
      <w:sz w:val="2"/>
    </w:rPr>
  </w:style>
  <w:style w:type="paragraph" w:styleId="ListParagraph">
    <w:name w:val="List Paragraph"/>
    <w:basedOn w:val="Normal"/>
    <w:uiPriority w:val="34"/>
    <w:qFormat/>
    <w:rsid w:val="00E05A91"/>
    <w:pPr>
      <w:ind w:left="720"/>
      <w:contextualSpacing/>
    </w:pPr>
    <w:rPr>
      <w:rFonts w:ascii="Calibri" w:hAnsi="Calibri"/>
      <w:sz w:val="22"/>
      <w:szCs w:val="22"/>
    </w:rPr>
  </w:style>
  <w:style w:type="paragraph" w:styleId="Header">
    <w:name w:val="header"/>
    <w:basedOn w:val="Normal"/>
    <w:link w:val="HeaderChar"/>
    <w:uiPriority w:val="99"/>
    <w:rsid w:val="0018375E"/>
    <w:pPr>
      <w:tabs>
        <w:tab w:val="center" w:pos="4680"/>
        <w:tab w:val="right" w:pos="9360"/>
      </w:tabs>
    </w:pPr>
  </w:style>
  <w:style w:type="character" w:customStyle="1" w:styleId="HeaderChar">
    <w:name w:val="Header Char"/>
    <w:basedOn w:val="DefaultParagraphFont"/>
    <w:link w:val="Header"/>
    <w:uiPriority w:val="99"/>
    <w:locked/>
    <w:rsid w:val="0018375E"/>
    <w:rPr>
      <w:rFonts w:cs="Times New Roman"/>
      <w:sz w:val="24"/>
      <w:szCs w:val="24"/>
    </w:rPr>
  </w:style>
  <w:style w:type="paragraph" w:styleId="Footer">
    <w:name w:val="footer"/>
    <w:basedOn w:val="Normal"/>
    <w:link w:val="FooterChar"/>
    <w:uiPriority w:val="99"/>
    <w:rsid w:val="0018375E"/>
    <w:pPr>
      <w:tabs>
        <w:tab w:val="center" w:pos="4680"/>
        <w:tab w:val="right" w:pos="9360"/>
      </w:tabs>
    </w:pPr>
  </w:style>
  <w:style w:type="character" w:customStyle="1" w:styleId="FooterChar">
    <w:name w:val="Footer Char"/>
    <w:basedOn w:val="DefaultParagraphFont"/>
    <w:link w:val="Footer"/>
    <w:uiPriority w:val="99"/>
    <w:locked/>
    <w:rsid w:val="0018375E"/>
    <w:rPr>
      <w:rFonts w:cs="Times New Roman"/>
      <w:sz w:val="24"/>
      <w:szCs w:val="24"/>
    </w:rPr>
  </w:style>
  <w:style w:type="paragraph" w:styleId="NoSpacing">
    <w:name w:val="No Spacing"/>
    <w:link w:val="NoSpacingChar"/>
    <w:uiPriority w:val="99"/>
    <w:qFormat/>
    <w:rsid w:val="006649BD"/>
    <w:rPr>
      <w:rFonts w:ascii="Calibri" w:hAnsi="Calibri"/>
    </w:rPr>
  </w:style>
  <w:style w:type="character" w:customStyle="1" w:styleId="NoSpacingChar">
    <w:name w:val="No Spacing Char"/>
    <w:basedOn w:val="DefaultParagraphFont"/>
    <w:link w:val="NoSpacing"/>
    <w:uiPriority w:val="99"/>
    <w:locked/>
    <w:rsid w:val="006649BD"/>
    <w:rPr>
      <w:rFonts w:ascii="Calibri" w:hAnsi="Calibri" w:cs="Times New Roman"/>
      <w:sz w:val="22"/>
      <w:szCs w:val="22"/>
      <w:lang w:val="en-US" w:eastAsia="en-US" w:bidi="ar-SA"/>
    </w:rPr>
  </w:style>
  <w:style w:type="paragraph" w:styleId="MessageHeader">
    <w:name w:val="Message Header"/>
    <w:basedOn w:val="BodyText"/>
    <w:link w:val="MessageHeaderChar"/>
    <w:uiPriority w:val="99"/>
    <w:rsid w:val="00F34CAA"/>
    <w:pPr>
      <w:keepLines/>
      <w:spacing w:line="180" w:lineRule="atLeast"/>
      <w:ind w:left="1555" w:hanging="720"/>
    </w:pPr>
    <w:rPr>
      <w:rFonts w:ascii="Arial" w:hAnsi="Arial"/>
      <w:spacing w:val="-5"/>
      <w:sz w:val="20"/>
      <w:szCs w:val="20"/>
    </w:rPr>
  </w:style>
  <w:style w:type="character" w:customStyle="1" w:styleId="MessageHeaderChar">
    <w:name w:val="Message Header Char"/>
    <w:basedOn w:val="DefaultParagraphFont"/>
    <w:link w:val="MessageHeader"/>
    <w:uiPriority w:val="99"/>
    <w:locked/>
    <w:rsid w:val="00F34CAA"/>
    <w:rPr>
      <w:rFonts w:ascii="Arial" w:hAnsi="Arial" w:cs="Times New Roman"/>
      <w:spacing w:val="-5"/>
    </w:rPr>
  </w:style>
  <w:style w:type="paragraph" w:customStyle="1" w:styleId="MessageHeaderFirst">
    <w:name w:val="Message Header First"/>
    <w:basedOn w:val="MessageHeader"/>
    <w:next w:val="MessageHeader"/>
    <w:uiPriority w:val="99"/>
    <w:rsid w:val="00F34CAA"/>
    <w:pPr>
      <w:spacing w:before="220"/>
    </w:pPr>
  </w:style>
  <w:style w:type="character" w:customStyle="1" w:styleId="MessageHeaderLabel">
    <w:name w:val="Message Header Label"/>
    <w:uiPriority w:val="99"/>
    <w:rsid w:val="00F34CAA"/>
    <w:rPr>
      <w:rFonts w:ascii="Arial Black" w:hAnsi="Arial Black"/>
      <w:spacing w:val="-10"/>
      <w:sz w:val="18"/>
    </w:rPr>
  </w:style>
  <w:style w:type="paragraph" w:customStyle="1" w:styleId="MessageHeaderLast">
    <w:name w:val="Message Header Last"/>
    <w:basedOn w:val="MessageHeader"/>
    <w:next w:val="BodyText"/>
    <w:uiPriority w:val="99"/>
    <w:rsid w:val="00F34CAA"/>
    <w:pPr>
      <w:pBdr>
        <w:bottom w:val="single" w:sz="6" w:space="15" w:color="auto"/>
      </w:pBdr>
      <w:spacing w:after="320"/>
    </w:pPr>
  </w:style>
  <w:style w:type="paragraph" w:styleId="BodyText">
    <w:name w:val="Body Text"/>
    <w:basedOn w:val="Normal"/>
    <w:link w:val="BodyTextChar"/>
    <w:uiPriority w:val="99"/>
    <w:rsid w:val="00F34CAA"/>
    <w:pPr>
      <w:spacing w:after="120"/>
    </w:pPr>
  </w:style>
  <w:style w:type="character" w:customStyle="1" w:styleId="BodyTextChar">
    <w:name w:val="Body Text Char"/>
    <w:basedOn w:val="DefaultParagraphFont"/>
    <w:link w:val="BodyText"/>
    <w:uiPriority w:val="99"/>
    <w:locked/>
    <w:rsid w:val="00F34CAA"/>
    <w:rPr>
      <w:rFonts w:cs="Times New Roman"/>
      <w:sz w:val="24"/>
      <w:szCs w:val="24"/>
    </w:rPr>
  </w:style>
  <w:style w:type="paragraph" w:customStyle="1" w:styleId="Client">
    <w:name w:val="Client"/>
    <w:basedOn w:val="Normal"/>
    <w:rsid w:val="00C23AA7"/>
    <w:pPr>
      <w:spacing w:before="60" w:after="60" w:line="260" w:lineRule="atLeast"/>
    </w:pPr>
    <w:rPr>
      <w:noProof/>
      <w:sz w:val="22"/>
      <w:szCs w:val="20"/>
    </w:rPr>
  </w:style>
  <w:style w:type="paragraph" w:customStyle="1" w:styleId="Datecreated">
    <w:name w:val="Date created"/>
    <w:basedOn w:val="Normal"/>
    <w:rsid w:val="00C23AA7"/>
    <w:pPr>
      <w:spacing w:before="60" w:after="60" w:line="260" w:lineRule="atLeast"/>
    </w:pPr>
    <w:rPr>
      <w:noProof/>
      <w:sz w:val="22"/>
      <w:szCs w:val="20"/>
    </w:rPr>
  </w:style>
  <w:style w:type="paragraph" w:customStyle="1" w:styleId="Periodend">
    <w:name w:val="Period end"/>
    <w:basedOn w:val="Normal"/>
    <w:rsid w:val="00C23AA7"/>
    <w:pPr>
      <w:spacing w:before="60" w:after="60" w:line="260" w:lineRule="atLeast"/>
    </w:pPr>
    <w:rPr>
      <w:noProof/>
      <w:sz w:val="22"/>
      <w:szCs w:val="20"/>
    </w:rPr>
  </w:style>
  <w:style w:type="paragraph" w:customStyle="1" w:styleId="Preparedby">
    <w:name w:val="Prepared by"/>
    <w:basedOn w:val="Normal"/>
    <w:rsid w:val="00C23AA7"/>
    <w:pPr>
      <w:snapToGrid w:val="0"/>
      <w:spacing w:before="60" w:after="60" w:line="260" w:lineRule="atLeast"/>
    </w:pPr>
    <w:rPr>
      <w:noProof/>
      <w:sz w:val="22"/>
      <w:szCs w:val="20"/>
    </w:rPr>
  </w:style>
  <w:style w:type="paragraph" w:customStyle="1" w:styleId="Smalltableheading">
    <w:name w:val="Small table heading"/>
    <w:next w:val="Normal"/>
    <w:rsid w:val="00C23AA7"/>
    <w:pPr>
      <w:keepNext/>
      <w:spacing w:before="60"/>
    </w:pPr>
    <w:rPr>
      <w:b/>
      <w:noProof/>
      <w:sz w:val="18"/>
      <w:szCs w:val="20"/>
    </w:rPr>
  </w:style>
  <w:style w:type="paragraph" w:customStyle="1" w:styleId="WPreference">
    <w:name w:val="WP reference"/>
    <w:basedOn w:val="Normal"/>
    <w:rsid w:val="00C23AA7"/>
    <w:pPr>
      <w:spacing w:before="60" w:after="60" w:line="260" w:lineRule="atLeast"/>
    </w:pPr>
    <w:rPr>
      <w:noProof/>
      <w:sz w:val="22"/>
      <w:szCs w:val="20"/>
    </w:rPr>
  </w:style>
  <w:style w:type="character" w:styleId="CommentReference">
    <w:name w:val="annotation reference"/>
    <w:basedOn w:val="DefaultParagraphFont"/>
    <w:semiHidden/>
    <w:rsid w:val="00C470C1"/>
    <w:rPr>
      <w:rFonts w:cs="Times New Roman"/>
      <w:sz w:val="16"/>
      <w:szCs w:val="16"/>
    </w:rPr>
  </w:style>
  <w:style w:type="paragraph" w:styleId="CommentText">
    <w:name w:val="annotation text"/>
    <w:basedOn w:val="Normal"/>
    <w:link w:val="CommentTextChar"/>
    <w:uiPriority w:val="99"/>
    <w:semiHidden/>
    <w:rsid w:val="00C470C1"/>
    <w:rPr>
      <w:sz w:val="20"/>
      <w:szCs w:val="20"/>
    </w:rPr>
  </w:style>
  <w:style w:type="character" w:customStyle="1" w:styleId="CommentTextChar">
    <w:name w:val="Comment Text Char"/>
    <w:basedOn w:val="DefaultParagraphFont"/>
    <w:link w:val="CommentText"/>
    <w:uiPriority w:val="99"/>
    <w:semiHidden/>
    <w:rsid w:val="00442EFA"/>
    <w:rPr>
      <w:sz w:val="20"/>
      <w:szCs w:val="20"/>
    </w:rPr>
  </w:style>
  <w:style w:type="paragraph" w:styleId="CommentSubject">
    <w:name w:val="annotation subject"/>
    <w:basedOn w:val="CommentText"/>
    <w:next w:val="CommentText"/>
    <w:link w:val="CommentSubjectChar"/>
    <w:uiPriority w:val="99"/>
    <w:semiHidden/>
    <w:rsid w:val="00C470C1"/>
    <w:rPr>
      <w:b/>
      <w:bCs/>
    </w:rPr>
  </w:style>
  <w:style w:type="character" w:customStyle="1" w:styleId="CommentSubjectChar">
    <w:name w:val="Comment Subject Char"/>
    <w:basedOn w:val="CommentTextChar"/>
    <w:link w:val="CommentSubject"/>
    <w:uiPriority w:val="99"/>
    <w:semiHidden/>
    <w:rsid w:val="00442EFA"/>
    <w:rPr>
      <w:b/>
      <w:bCs/>
      <w:sz w:val="20"/>
      <w:szCs w:val="20"/>
    </w:rPr>
  </w:style>
  <w:style w:type="character" w:customStyle="1" w:styleId="Heading1Char">
    <w:name w:val="Heading 1 Char"/>
    <w:basedOn w:val="DefaultParagraphFont"/>
    <w:link w:val="Heading1"/>
    <w:rsid w:val="00D845A8"/>
    <w:rPr>
      <w:rFonts w:ascii="Arial" w:hAnsi="Arial" w:cs="Arial"/>
      <w:b/>
      <w:bCs/>
      <w:kern w:val="32"/>
      <w:sz w:val="32"/>
      <w:szCs w:val="32"/>
    </w:rPr>
  </w:style>
  <w:style w:type="paragraph" w:customStyle="1" w:styleId="Default">
    <w:name w:val="Default"/>
    <w:rsid w:val="00EA1CFA"/>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092559">
      <w:bodyDiv w:val="1"/>
      <w:marLeft w:val="0"/>
      <w:marRight w:val="0"/>
      <w:marTop w:val="0"/>
      <w:marBottom w:val="0"/>
      <w:divBdr>
        <w:top w:val="none" w:sz="0" w:space="0" w:color="auto"/>
        <w:left w:val="none" w:sz="0" w:space="0" w:color="auto"/>
        <w:bottom w:val="none" w:sz="0" w:space="0" w:color="auto"/>
        <w:right w:val="none" w:sz="0" w:space="0" w:color="auto"/>
      </w:divBdr>
    </w:div>
    <w:div w:id="486363182">
      <w:bodyDiv w:val="1"/>
      <w:marLeft w:val="0"/>
      <w:marRight w:val="0"/>
      <w:marTop w:val="0"/>
      <w:marBottom w:val="0"/>
      <w:divBdr>
        <w:top w:val="none" w:sz="0" w:space="0" w:color="auto"/>
        <w:left w:val="none" w:sz="0" w:space="0" w:color="auto"/>
        <w:bottom w:val="none" w:sz="0" w:space="0" w:color="auto"/>
        <w:right w:val="none" w:sz="0" w:space="0" w:color="auto"/>
      </w:divBdr>
    </w:div>
    <w:div w:id="1134520453">
      <w:bodyDiv w:val="1"/>
      <w:marLeft w:val="0"/>
      <w:marRight w:val="0"/>
      <w:marTop w:val="0"/>
      <w:marBottom w:val="0"/>
      <w:divBdr>
        <w:top w:val="none" w:sz="0" w:space="0" w:color="auto"/>
        <w:left w:val="none" w:sz="0" w:space="0" w:color="auto"/>
        <w:bottom w:val="none" w:sz="0" w:space="0" w:color="auto"/>
        <w:right w:val="none" w:sz="0" w:space="0" w:color="auto"/>
      </w:divBdr>
    </w:div>
    <w:div w:id="1224876344">
      <w:bodyDiv w:val="1"/>
      <w:marLeft w:val="0"/>
      <w:marRight w:val="0"/>
      <w:marTop w:val="0"/>
      <w:marBottom w:val="0"/>
      <w:divBdr>
        <w:top w:val="none" w:sz="0" w:space="0" w:color="auto"/>
        <w:left w:val="none" w:sz="0" w:space="0" w:color="auto"/>
        <w:bottom w:val="none" w:sz="0" w:space="0" w:color="auto"/>
        <w:right w:val="none" w:sz="0" w:space="0" w:color="auto"/>
      </w:divBdr>
    </w:div>
    <w:div w:id="1420515711">
      <w:bodyDiv w:val="1"/>
      <w:marLeft w:val="0"/>
      <w:marRight w:val="0"/>
      <w:marTop w:val="0"/>
      <w:marBottom w:val="0"/>
      <w:divBdr>
        <w:top w:val="none" w:sz="0" w:space="0" w:color="auto"/>
        <w:left w:val="none" w:sz="0" w:space="0" w:color="auto"/>
        <w:bottom w:val="none" w:sz="0" w:space="0" w:color="auto"/>
        <w:right w:val="none" w:sz="0" w:space="0" w:color="auto"/>
      </w:divBdr>
    </w:div>
    <w:div w:id="1567912202">
      <w:bodyDiv w:val="1"/>
      <w:marLeft w:val="0"/>
      <w:marRight w:val="0"/>
      <w:marTop w:val="0"/>
      <w:marBottom w:val="0"/>
      <w:divBdr>
        <w:top w:val="none" w:sz="0" w:space="0" w:color="auto"/>
        <w:left w:val="none" w:sz="0" w:space="0" w:color="auto"/>
        <w:bottom w:val="none" w:sz="0" w:space="0" w:color="auto"/>
        <w:right w:val="none" w:sz="0" w:space="0" w:color="auto"/>
      </w:divBdr>
    </w:div>
    <w:div w:id="160225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axportal.pods.com/sites/DynamicsAx/Enterprise%20Portal/WebProductCatalogItem.aspx?WTID=516615439835d34602e97f2cae2e1106defe478f21eef8602db193337445cbf72b1e2252cf1a9aff&amp;WKEY=9b2a703f06366c00fb004628341e2b9352dbe5bc39000b5e2c660a4e25a4e4eee2280b413c7671b9373c7df935deec58af0f67c147467860c78cb363189833b0ad4cc739887cde0c&amp;WCMP=peiu&amp;WCIV=637223955814501758" TargetMode="External"/><Relationship Id="rId17" Type="http://schemas.openxmlformats.org/officeDocument/2006/relationships/hyperlink" Target="https://podsnet.pods.com/CorpOps/Documents/Policies/Forklift%20Policy.docx"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umes\Application%20Data\Microsoft\Templates\PODS%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x0073_g48 xmlns="53461af6-35cc-4690-940b-01c2f29725e3">
      <UserInfo>
        <DisplayName/>
        <AccountId xsi:nil="true"/>
        <AccountType/>
      </UserInfo>
    </_x0073_g48>
    <TranslationStateDownloadLink xmlns="http://schemas.microsoft.com/sharepoint/v3">
      <Url xsi:nil="true"/>
      <Description xsi:nil="true"/>
    </TranslationStateDownloadLink>
    <TaxKeywordTaxHTField xmlns="3c045677-0f08-48dd-b18e-53e4ab0ce01a">
      <Terms xmlns="http://schemas.microsoft.com/office/infopath/2007/PartnerControls"/>
    </TaxKeywordTaxHTField>
    <Audience xmlns="53461af6-35cc-4690-940b-01c2f29725e3">NA</Audience>
    <Department xmlns="53461af6-35cc-4690-940b-01c2f29725e3">NA</Department>
    <d4tg xmlns="53461af6-35cc-4690-940b-01c2f29725e3" xsi:nil="true"/>
    <URL xmlns="http://schemas.microsoft.com/sharepoint/v3">
      <Url xsi:nil="true"/>
      <Description xsi:nil="true"/>
    </URL>
    <PublishingExpirationDate xmlns="http://schemas.microsoft.com/sharepoint/v3" xsi:nil="true"/>
    <RoutingRuleDescription xmlns="http://schemas.microsoft.com/sharepoint/v3" xsi:nil="true"/>
    <PublishingStartDate xmlns="http://schemas.microsoft.com/sharepoint/v3" xsi:nil="true"/>
    <TaxCatchAll xmlns="3c045677-0f08-48dd-b18e-53e4ab0ce01a"/>
    <_DCDateCreated xmlns="http://schemas.microsoft.com/sharepoint/v3/fields"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EFCEF393AD424FBBA031878F3EE985" ma:contentTypeVersion="10" ma:contentTypeDescription="Create a new document." ma:contentTypeScope="" ma:versionID="2908d22e24f3521bbe50cd0a626cbed0">
  <xsd:schema xmlns:xsd="http://www.w3.org/2001/XMLSchema" xmlns:xs="http://www.w3.org/2001/XMLSchema" xmlns:p="http://schemas.microsoft.com/office/2006/metadata/properties" xmlns:ns1="http://schemas.microsoft.com/sharepoint/v3" xmlns:ns2="3c045677-0f08-48dd-b18e-53e4ab0ce01a" xmlns:ns3="53461af6-35cc-4690-940b-01c2f29725e3" xmlns:ns4="http://schemas.microsoft.com/sharepoint/v3/fields" targetNamespace="http://schemas.microsoft.com/office/2006/metadata/properties" ma:root="true" ma:fieldsID="675a79aa894efdd914df28c16b01d255" ns1:_="" ns2:_="" ns3:_="" ns4:_="">
    <xsd:import namespace="http://schemas.microsoft.com/sharepoint/v3"/>
    <xsd:import namespace="3c045677-0f08-48dd-b18e-53e4ab0ce01a"/>
    <xsd:import namespace="53461af6-35cc-4690-940b-01c2f29725e3"/>
    <xsd:import namespace="http://schemas.microsoft.com/sharepoint/v3/fields"/>
    <xsd:element name="properties">
      <xsd:complexType>
        <xsd:sequence>
          <xsd:element name="documentManagement">
            <xsd:complexType>
              <xsd:all>
                <xsd:element ref="ns1:PublishingStartDate" minOccurs="0"/>
                <xsd:element ref="ns1:PublishingExpirationDate" minOccurs="0"/>
                <xsd:element ref="ns2:SharedWithUsers" minOccurs="0"/>
                <xsd:element ref="ns3:Department" minOccurs="0"/>
                <xsd:element ref="ns3:_x0073_g48" minOccurs="0"/>
                <xsd:element ref="ns2:TaxKeywordTaxHTField" minOccurs="0"/>
                <xsd:element ref="ns2:TaxCatchAll" minOccurs="0"/>
                <xsd:element ref="ns3:Audience" minOccurs="0"/>
                <xsd:element ref="ns4:_DCDateCreated" minOccurs="0"/>
                <xsd:element ref="ns1:TranslationStateDownloadLink" minOccurs="0"/>
                <xsd:element ref="ns1:RoutingRuleDescription" minOccurs="0"/>
                <xsd:element ref="ns3:d4tg"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TranslationStateDownloadLink" ma:index="18" nillable="true" ma:displayName="Download Link" ma:description="" ma:internalName="TranslationStateDownloadLink">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9" nillable="true" ma:displayName="Description" ma:description="" ma:internalName="RoutingRuleDescription" ma:readOnly="false">
      <xsd:simpleType>
        <xsd:restriction base="dms:Text">
          <xsd:maxLength value="255"/>
        </xsd:restriction>
      </xsd:simpleType>
    </xsd:element>
    <xsd:element name="URL" ma:index="24"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045677-0f08-48dd-b18e-53e4ab0ce01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4" nillable="true" ma:taxonomy="true" ma:internalName="TaxKeywordTaxHTField" ma:taxonomyFieldName="TaxKeyword" ma:displayName="Enterprise Keywords" ma:fieldId="{23f27201-bee3-471e-b2e7-b64fd8b7ca38}" ma:taxonomyMulti="true" ma:sspId="4b8ff25d-5fe2-43c8-896f-6833b2de76c5"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description="" ma:hidden="true" ma:list="{48dc985b-54ab-4773-b94f-a82421e17948}" ma:internalName="TaxCatchAll" ma:showField="CatchAllData" ma:web="3c045677-0f08-48dd-b18e-53e4ab0ce0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461af6-35cc-4690-940b-01c2f29725e3" elementFormDefault="qualified">
    <xsd:import namespace="http://schemas.microsoft.com/office/2006/documentManagement/types"/>
    <xsd:import namespace="http://schemas.microsoft.com/office/infopath/2007/PartnerControls"/>
    <xsd:element name="Department" ma:index="11" nillable="true" ma:displayName="Department" ma:default="NA" ma:format="Dropdown" ma:internalName="Department">
      <xsd:simpleType>
        <xsd:restriction base="dms:Choice">
          <xsd:enumeration value="NA"/>
          <xsd:enumeration value="AMP"/>
          <xsd:enumeration value="Commercial"/>
          <xsd:enumeration value="Corporate Operations"/>
          <xsd:enumeration value="Finance"/>
          <xsd:enumeration value="Franchise"/>
          <xsd:enumeration value="Human Resources"/>
          <xsd:enumeration value="Information Technology"/>
          <xsd:enumeration value="Legal"/>
          <xsd:enumeration value="Logistics"/>
          <xsd:enumeration value="Marketing"/>
          <xsd:enumeration value="Parts and Services"/>
          <xsd:enumeration value="Residential"/>
        </xsd:restriction>
      </xsd:simpleType>
    </xsd:element>
    <xsd:element name="_x0073_g48" ma:index="12" nillable="true" ma:displayName="Owner" ma:list="UserInfo" ma:internalName="_x0073_g48">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dience" ma:index="16" nillable="true" ma:displayName="Audience" ma:default="NA" ma:format="Dropdown" ma:internalName="Audience">
      <xsd:simpleType>
        <xsd:restriction base="dms:Choice">
          <xsd:enumeration value="NA"/>
          <xsd:enumeration value="All Associates"/>
          <xsd:enumeration value="Managers"/>
          <xsd:enumeration value="Team/Internal"/>
          <xsd:enumeration value="Administrator"/>
        </xsd:restriction>
      </xsd:simpleType>
    </xsd:element>
    <xsd:element name="d4tg" ma:index="20" nillable="true" ma:displayName="Area" ma:internalName="d4tg">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17"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3"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2" ma:displayName="Subject"/>
        <xsd:element ref="dc:description" minOccurs="0" maxOccurs="1"/>
        <xsd:element name="keywords" minOccurs="0" maxOccurs="1" type="xsd:string" ma:index="21"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FC64D5-8B39-492D-AF46-C38F7225B222}">
  <ds:schemaRefs>
    <ds:schemaRef ds:uri="http://schemas.openxmlformats.org/officeDocument/2006/bibliography"/>
  </ds:schemaRefs>
</ds:datastoreItem>
</file>

<file path=customXml/itemProps2.xml><?xml version="1.0" encoding="utf-8"?>
<ds:datastoreItem xmlns:ds="http://schemas.openxmlformats.org/officeDocument/2006/customXml" ds:itemID="{1366D299-80D0-4FCE-A943-48A2B0C0F82B}">
  <ds:schemaRefs>
    <ds:schemaRef ds:uri="http://purl.org/dc/terms/"/>
    <ds:schemaRef ds:uri="http://schemas.microsoft.com/office/2006/metadata/properties"/>
    <ds:schemaRef ds:uri="http://schemas.microsoft.com/sharepoint/v3"/>
    <ds:schemaRef ds:uri="http://schemas.microsoft.com/office/2006/documentManagement/types"/>
    <ds:schemaRef ds:uri="http://schemas.microsoft.com/sharepoint/v3/fields"/>
    <ds:schemaRef ds:uri="http://purl.org/dc/dcmitype/"/>
    <ds:schemaRef ds:uri="http://schemas.microsoft.com/office/infopath/2007/PartnerControls"/>
    <ds:schemaRef ds:uri="http://www.w3.org/XML/1998/namespace"/>
    <ds:schemaRef ds:uri="3c045677-0f08-48dd-b18e-53e4ab0ce01a"/>
    <ds:schemaRef ds:uri="http://schemas.openxmlformats.org/package/2006/metadata/core-properties"/>
    <ds:schemaRef ds:uri="53461af6-35cc-4690-940b-01c2f29725e3"/>
    <ds:schemaRef ds:uri="http://purl.org/dc/elements/1.1/"/>
  </ds:schemaRefs>
</ds:datastoreItem>
</file>

<file path=customXml/itemProps3.xml><?xml version="1.0" encoding="utf-8"?>
<ds:datastoreItem xmlns:ds="http://schemas.openxmlformats.org/officeDocument/2006/customXml" ds:itemID="{E07E1A3A-394A-4FC0-9580-390930907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045677-0f08-48dd-b18e-53e4ab0ce01a"/>
    <ds:schemaRef ds:uri="53461af6-35cc-4690-940b-01c2f29725e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AE7D9-36F8-4CBB-B7BC-5D66BDF149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PODS Letterhead</Template>
  <TotalTime>24</TotalTime>
  <Pages>3</Pages>
  <Words>624</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Creative Process</vt:lpstr>
    </vt:vector>
  </TitlesOfParts>
  <Company>PODS</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Creative Process</dc:title>
  <dc:creator>smidura</dc:creator>
  <cp:lastModifiedBy>Jeffrey Cass</cp:lastModifiedBy>
  <cp:revision>8</cp:revision>
  <cp:lastPrinted>2017-03-31T14:24:00Z</cp:lastPrinted>
  <dcterms:created xsi:type="dcterms:W3CDTF">2020-07-29T15:13:00Z</dcterms:created>
  <dcterms:modified xsi:type="dcterms:W3CDTF">2021-05-17T16:42:00Z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0x01010009EFCEF393AD424FBBA031878F3EE985</vt:lpwstr>
  </property>
</Properties>
</file>